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28" w:rsidRDefault="003D6C28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D6C28" w:rsidRDefault="003D6C28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D6C28" w:rsidRDefault="003D6C28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D6C28" w:rsidRDefault="003D6C28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3D6C28" w:rsidRDefault="003D6C28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3D6C28" w:rsidRDefault="003D6C28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3D6C28" w:rsidRDefault="003D6C28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3D6C28" w:rsidRDefault="003D6C28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3D6C28" w:rsidRDefault="003D6C28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05/95 </w:t>
      </w:r>
    </w:p>
    <w:p w:rsidR="003D6C28" w:rsidRDefault="003D6C28">
      <w:pPr>
        <w:widowControl w:val="0"/>
        <w:autoSpaceDE w:val="0"/>
        <w:autoSpaceDN w:val="0"/>
        <w:adjustRightInd w:val="0"/>
        <w:spacing w:line="172" w:lineRule="exact"/>
        <w:ind w:left="10" w:right="6100"/>
        <w:rPr>
          <w:sz w:val="17"/>
          <w:szCs w:val="17"/>
        </w:rPr>
      </w:pPr>
    </w:p>
    <w:p w:rsidR="003D6C28" w:rsidRDefault="003D6C28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3D6C28" w:rsidRDefault="003D6C28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aos seis dias do mês de abril </w:t>
      </w:r>
      <w:r>
        <w:rPr>
          <w:rFonts w:ascii="Arial" w:hAnsi="Arial" w:cs="Arial"/>
          <w:spacing w:val="1"/>
          <w:sz w:val="20"/>
          <w:szCs w:val="20"/>
        </w:rPr>
        <w:t xml:space="preserve">de hum mil, novecentos e noventa e cinco, o Conselho Municipal de Preservação do Patrimônio </w:t>
      </w:r>
      <w:r>
        <w:rPr>
          <w:rFonts w:ascii="Arial" w:hAnsi="Arial" w:cs="Arial"/>
          <w:sz w:val="20"/>
          <w:szCs w:val="20"/>
        </w:rPr>
        <w:t xml:space="preserve">Histórico, Cultural e Ambiental da Cidade de São Paulo - CONPRESP, resolveu, nos termos e para os </w:t>
      </w:r>
    </w:p>
    <w:p w:rsidR="003D6C28" w:rsidRDefault="003D6C28">
      <w:pPr>
        <w:widowControl w:val="0"/>
        <w:autoSpaceDE w:val="0"/>
        <w:autoSpaceDN w:val="0"/>
        <w:adjustRightInd w:val="0"/>
        <w:spacing w:line="230" w:lineRule="exact"/>
        <w:ind w:left="10" w:right="1544"/>
      </w:pPr>
      <w:r>
        <w:rPr>
          <w:rFonts w:ascii="Arial" w:hAnsi="Arial" w:cs="Arial"/>
          <w:spacing w:val="-2"/>
          <w:sz w:val="20"/>
          <w:szCs w:val="20"/>
        </w:rPr>
        <w:t>fins da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10.032/85, 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tombar </w:t>
      </w:r>
    </w:p>
    <w:p w:rsidR="003D6C28" w:rsidRDefault="003D6C28">
      <w:pPr>
        <w:widowControl w:val="0"/>
        <w:autoSpaceDE w:val="0"/>
        <w:autoSpaceDN w:val="0"/>
        <w:adjustRightInd w:val="0"/>
        <w:spacing w:line="228" w:lineRule="exact"/>
        <w:ind w:left="10" w:right="1544"/>
        <w:rPr>
          <w:sz w:val="23"/>
          <w:szCs w:val="23"/>
        </w:rPr>
      </w:pPr>
    </w:p>
    <w:p w:rsidR="003D6C28" w:rsidRDefault="003D6C28">
      <w:pPr>
        <w:widowControl w:val="0"/>
        <w:autoSpaceDE w:val="0"/>
        <w:autoSpaceDN w:val="0"/>
        <w:adjustRightInd w:val="0"/>
        <w:spacing w:line="261" w:lineRule="exact"/>
        <w:ind w:left="10" w:right="47"/>
      </w:pPr>
      <w:r>
        <w:rPr>
          <w:spacing w:val="1"/>
          <w:sz w:val="30"/>
          <w:szCs w:val="30"/>
        </w:rPr>
        <w:t>•</w:t>
      </w:r>
      <w:r>
        <w:rPr>
          <w:rFonts w:ascii="Arial" w:hAnsi="Arial" w:cs="Arial"/>
          <w:spacing w:val="1"/>
          <w:sz w:val="20"/>
          <w:szCs w:val="20"/>
        </w:rPr>
        <w:t xml:space="preserve"> integralmente o edifício situado à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Rua Marquês de Paranaguá, 124</w:t>
      </w:r>
      <w:r>
        <w:rPr>
          <w:rFonts w:ascii="Arial" w:hAnsi="Arial" w:cs="Arial"/>
          <w:spacing w:val="1"/>
          <w:sz w:val="20"/>
          <w:szCs w:val="20"/>
        </w:rPr>
        <w:t xml:space="preserve"> (SQL 10-13-24), interna e </w:t>
      </w:r>
    </w:p>
    <w:p w:rsidR="003D6C28" w:rsidRDefault="003D6C28">
      <w:pPr>
        <w:widowControl w:val="0"/>
        <w:autoSpaceDE w:val="0"/>
        <w:autoSpaceDN w:val="0"/>
        <w:adjustRightInd w:val="0"/>
        <w:spacing w:line="213" w:lineRule="exact"/>
        <w:ind w:left="294" w:right="47"/>
      </w:pPr>
      <w:r>
        <w:rPr>
          <w:rFonts w:ascii="Arial" w:hAnsi="Arial" w:cs="Arial"/>
          <w:sz w:val="20"/>
          <w:szCs w:val="20"/>
        </w:rPr>
        <w:t xml:space="preserve">externamente, com todos os elementos arquitetônicos existentes, excluindo-se as dependências de </w:t>
      </w:r>
    </w:p>
    <w:p w:rsidR="003D6C28" w:rsidRDefault="003D6C28">
      <w:pPr>
        <w:widowControl w:val="0"/>
        <w:autoSpaceDE w:val="0"/>
        <w:autoSpaceDN w:val="0"/>
        <w:adjustRightInd w:val="0"/>
        <w:spacing w:line="230" w:lineRule="exact"/>
        <w:ind w:left="294" w:right="2137"/>
      </w:pPr>
      <w:r>
        <w:rPr>
          <w:rFonts w:ascii="Arial" w:hAnsi="Arial" w:cs="Arial"/>
          <w:spacing w:val="-2"/>
          <w:sz w:val="20"/>
          <w:szCs w:val="20"/>
        </w:rPr>
        <w:t xml:space="preserve">serviço de empregados e garagem, existentes na parte posterior do edifício. </w:t>
      </w:r>
    </w:p>
    <w:p w:rsidR="003D6C28" w:rsidRDefault="003D6C28">
      <w:pPr>
        <w:widowControl w:val="0"/>
        <w:autoSpaceDE w:val="0"/>
        <w:autoSpaceDN w:val="0"/>
        <w:adjustRightInd w:val="0"/>
        <w:spacing w:line="228" w:lineRule="exact"/>
        <w:ind w:left="294" w:right="2137"/>
        <w:rPr>
          <w:sz w:val="23"/>
          <w:szCs w:val="23"/>
        </w:rPr>
      </w:pPr>
    </w:p>
    <w:p w:rsidR="003D6C28" w:rsidRDefault="003D6C28">
      <w:pPr>
        <w:widowControl w:val="0"/>
        <w:autoSpaceDE w:val="0"/>
        <w:autoSpaceDN w:val="0"/>
        <w:adjustRightInd w:val="0"/>
        <w:spacing w:line="261" w:lineRule="exact"/>
        <w:ind w:left="10" w:right="49"/>
      </w:pPr>
      <w:r>
        <w:rPr>
          <w:sz w:val="30"/>
          <w:szCs w:val="30"/>
        </w:rPr>
        <w:t>•</w:t>
      </w:r>
      <w:r>
        <w:rPr>
          <w:rFonts w:ascii="Arial" w:hAnsi="Arial" w:cs="Arial"/>
          <w:sz w:val="20"/>
          <w:szCs w:val="20"/>
        </w:rPr>
        <w:t xml:space="preserve"> O tombamento abrange a extensão completa do lote incluindo os muros de fechamento, o portão </w:t>
      </w:r>
    </w:p>
    <w:p w:rsidR="003D6C28" w:rsidRDefault="003D6C28">
      <w:pPr>
        <w:widowControl w:val="0"/>
        <w:autoSpaceDE w:val="0"/>
        <w:autoSpaceDN w:val="0"/>
        <w:adjustRightInd w:val="0"/>
        <w:spacing w:line="213" w:lineRule="exact"/>
        <w:ind w:left="10" w:right="2809" w:firstLine="283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principal, a escadaria de acesso, os gradis e a vegetação existente. </w:t>
      </w:r>
    </w:p>
    <w:sectPr w:rsidR="003D6C28" w:rsidSect="003D6C28">
      <w:pgSz w:w="11900" w:h="16840"/>
      <w:pgMar w:top="1420" w:right="1640" w:bottom="20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E2"/>
    <w:rsid w:val="00130FFA"/>
    <w:rsid w:val="003D6C28"/>
    <w:rsid w:val="004D6BE2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2014-02-06T19:49:00Z</dcterms:created>
  <dcterms:modified xsi:type="dcterms:W3CDTF">2014-02-06T19:49:00Z</dcterms:modified>
</cp:coreProperties>
</file>