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D7" w:rsidRDefault="001F12D7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F12D7" w:rsidRDefault="001F12D7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F12D7" w:rsidRDefault="001F12D7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F12D7" w:rsidRDefault="001F12D7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1F12D7" w:rsidRDefault="001F12D7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1F12D7" w:rsidRDefault="001F12D7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1F12D7" w:rsidRDefault="001F12D7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1F12D7" w:rsidRDefault="001F12D7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1F12D7" w:rsidRDefault="001F12D7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17/91 </w:t>
      </w:r>
    </w:p>
    <w:p w:rsidR="001F12D7" w:rsidRDefault="001F12D7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1F12D7" w:rsidRDefault="001F12D7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1F12D7" w:rsidRDefault="001F12D7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21 de Junho de </w:t>
      </w:r>
      <w:r>
        <w:rPr>
          <w:rFonts w:ascii="Arial" w:hAnsi="Arial" w:cs="Arial"/>
          <w:spacing w:val="1"/>
          <w:sz w:val="19"/>
          <w:szCs w:val="19"/>
        </w:rPr>
        <w:t xml:space="preserve">1991, 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10.032/85, com as </w:t>
      </w:r>
    </w:p>
    <w:p w:rsidR="001F12D7" w:rsidRDefault="001F12D7">
      <w:pPr>
        <w:widowControl w:val="0"/>
        <w:autoSpaceDE w:val="0"/>
        <w:autoSpaceDN w:val="0"/>
        <w:adjustRightInd w:val="0"/>
        <w:spacing w:line="224" w:lineRule="exact"/>
        <w:ind w:left="14" w:right="434"/>
      </w:pPr>
      <w:r>
        <w:rPr>
          <w:rFonts w:ascii="Arial" w:hAnsi="Arial" w:cs="Arial"/>
          <w:spacing w:val="-2"/>
          <w:sz w:val="19"/>
          <w:szCs w:val="19"/>
        </w:rPr>
        <w:t>alterações 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1F12D7" w:rsidRDefault="001F12D7">
      <w:pPr>
        <w:widowControl w:val="0"/>
        <w:autoSpaceDE w:val="0"/>
        <w:autoSpaceDN w:val="0"/>
        <w:adjustRightInd w:val="0"/>
        <w:spacing w:line="221" w:lineRule="exact"/>
        <w:ind w:left="14" w:right="434"/>
        <w:rPr>
          <w:sz w:val="22"/>
          <w:szCs w:val="22"/>
        </w:rPr>
      </w:pPr>
    </w:p>
    <w:p w:rsidR="001F12D7" w:rsidRDefault="001F12D7">
      <w:pPr>
        <w:widowControl w:val="0"/>
        <w:autoSpaceDE w:val="0"/>
        <w:autoSpaceDN w:val="0"/>
        <w:adjustRightInd w:val="0"/>
        <w:spacing w:line="225" w:lineRule="exact"/>
        <w:ind w:left="14" w:right="314" w:firstLine="413"/>
        <w:rPr>
          <w:spacing w:val="-3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- um conjunto arquitetônico situado na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Rua Augusta, 353</w:t>
      </w:r>
      <w:r>
        <w:rPr>
          <w:rFonts w:ascii="Arial" w:hAnsi="Arial" w:cs="Arial"/>
          <w:spacing w:val="-2"/>
          <w:sz w:val="19"/>
          <w:szCs w:val="19"/>
        </w:rPr>
        <w:t xml:space="preserve"> compondo a esquina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com a Rua 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>Marques de Paranaguá até o n</w:t>
      </w:r>
      <w:r>
        <w:rPr>
          <w:rFonts w:ascii="Arial" w:hAnsi="Arial" w:cs="Arial"/>
          <w:b/>
          <w:bCs/>
          <w:i/>
          <w:iCs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 329</w:t>
      </w:r>
      <w:r>
        <w:rPr>
          <w:spacing w:val="-3"/>
          <w:sz w:val="19"/>
          <w:szCs w:val="19"/>
        </w:rPr>
        <w:t xml:space="preserve">. </w:t>
      </w:r>
    </w:p>
    <w:p w:rsidR="001F12D7" w:rsidRDefault="001F12D7">
      <w:pPr>
        <w:widowControl w:val="0"/>
        <w:autoSpaceDE w:val="0"/>
        <w:autoSpaceDN w:val="0"/>
        <w:adjustRightInd w:val="0"/>
        <w:spacing w:line="225" w:lineRule="exact"/>
        <w:ind w:left="14" w:right="314" w:firstLine="413"/>
        <w:rPr>
          <w:spacing w:val="-3"/>
          <w:sz w:val="19"/>
          <w:szCs w:val="19"/>
        </w:rPr>
        <w:sectPr w:rsidR="001F12D7">
          <w:pgSz w:w="11900" w:h="16840"/>
          <w:pgMar w:top="2060" w:right="1600" w:bottom="2080" w:left="1640" w:header="720" w:footer="720" w:gutter="0"/>
          <w:cols w:space="720"/>
          <w:noEndnote/>
        </w:sectPr>
      </w:pPr>
    </w:p>
    <w:p w:rsidR="001F12D7" w:rsidRDefault="001F12D7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1F12D7" w:rsidSect="001F12D7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B4"/>
    <w:rsid w:val="001977B4"/>
    <w:rsid w:val="001F12D7"/>
    <w:rsid w:val="00214CFC"/>
    <w:rsid w:val="0061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113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2014-02-06T19:19:00Z</dcterms:created>
  <dcterms:modified xsi:type="dcterms:W3CDTF">2014-02-06T19:19:00Z</dcterms:modified>
</cp:coreProperties>
</file>