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7C" w:rsidRDefault="0041637C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41637C" w:rsidRDefault="0041637C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41637C" w:rsidRDefault="0041637C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41637C" w:rsidRDefault="0041637C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41637C" w:rsidRDefault="0041637C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41637C" w:rsidRDefault="0041637C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41637C" w:rsidRDefault="0041637C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41637C" w:rsidRDefault="0041637C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41637C" w:rsidRDefault="0041637C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41/92 </w:t>
      </w:r>
    </w:p>
    <w:p w:rsidR="0041637C" w:rsidRDefault="0041637C">
      <w:pPr>
        <w:widowControl w:val="0"/>
        <w:autoSpaceDE w:val="0"/>
        <w:autoSpaceDN w:val="0"/>
        <w:adjustRightInd w:val="0"/>
        <w:spacing w:line="218" w:lineRule="exact"/>
        <w:ind w:left="10" w:right="6100"/>
        <w:rPr>
          <w:sz w:val="22"/>
          <w:szCs w:val="22"/>
        </w:rPr>
      </w:pPr>
    </w:p>
    <w:p w:rsidR="0041637C" w:rsidRDefault="0041637C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41637C" w:rsidRDefault="0041637C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</w:pPr>
      <w:r>
        <w:rPr>
          <w:rFonts w:ascii="Arial" w:hAnsi="Arial" w:cs="Arial"/>
          <w:spacing w:val="1"/>
          <w:sz w:val="20"/>
          <w:szCs w:val="20"/>
        </w:rPr>
        <w:t xml:space="preserve">Por decisão unânime dos Conselheiros presentes à reunião extraordinária realizada em 11 de </w:t>
      </w:r>
      <w:r>
        <w:rPr>
          <w:rFonts w:ascii="Arial" w:hAnsi="Arial" w:cs="Arial"/>
          <w:sz w:val="20"/>
          <w:szCs w:val="20"/>
        </w:rPr>
        <w:t>dezembro de 1992, o Conselho Municipal de Preservação do Patrimônio Histórico, Cultural e Ambiental da Cidade de São Paulo - CONPRESP, resolve, nos termos e para os fins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10.032/85, com as </w:t>
      </w:r>
      <w:r>
        <w:rPr>
          <w:rFonts w:ascii="Arial" w:hAnsi="Arial" w:cs="Arial"/>
          <w:spacing w:val="-1"/>
          <w:sz w:val="20"/>
          <w:szCs w:val="20"/>
        </w:rPr>
        <w:t>alterações introduzidas pela Lei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10.236/86,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abrir processo de tombamento</w:t>
      </w:r>
      <w:r>
        <w:rPr>
          <w:rFonts w:ascii="Arial" w:hAnsi="Arial" w:cs="Arial"/>
          <w:spacing w:val="-1"/>
          <w:sz w:val="20"/>
          <w:szCs w:val="20"/>
        </w:rPr>
        <w:t xml:space="preserve"> da área conhecida como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CHÁCARA DOS FONTOURA</w:t>
      </w:r>
      <w:r>
        <w:rPr>
          <w:rFonts w:ascii="Arial" w:hAnsi="Arial" w:cs="Arial"/>
          <w:spacing w:val="-2"/>
          <w:sz w:val="20"/>
          <w:szCs w:val="20"/>
        </w:rPr>
        <w:t>, situada na Estrada da Biacica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756 (CADLOG 03349/9), Bairro do Itaim Paulista, Distrito de Jardim Helena (Setor 133 - Quadra 031 - Lote 0001). </w:t>
      </w:r>
    </w:p>
    <w:p w:rsidR="0041637C" w:rsidRDefault="0041637C">
      <w:pPr>
        <w:widowControl w:val="0"/>
        <w:autoSpaceDE w:val="0"/>
        <w:autoSpaceDN w:val="0"/>
        <w:adjustRightInd w:val="0"/>
        <w:spacing w:line="229" w:lineRule="exact"/>
        <w:ind w:left="10" w:right="48" w:firstLine="425"/>
        <w:rPr>
          <w:sz w:val="23"/>
          <w:szCs w:val="23"/>
        </w:rPr>
      </w:pPr>
    </w:p>
    <w:p w:rsidR="0041637C" w:rsidRDefault="0041637C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presente Resolução aplica-se aos seguintes elementos constituidores daquela Chácara: área verde de porte arbóreo e ajardinamentos, residência-sede e seus pertences (banco neocolonial, painéis </w:t>
      </w:r>
      <w:r>
        <w:rPr>
          <w:rFonts w:ascii="Arial" w:hAnsi="Arial" w:cs="Arial"/>
          <w:spacing w:val="1"/>
          <w:sz w:val="20"/>
          <w:szCs w:val="20"/>
        </w:rPr>
        <w:t xml:space="preserve">de azulejos, relevos de bronze da varanda, móveis, talhas e quadros existentes na área da antiga </w:t>
      </w:r>
      <w:r>
        <w:rPr>
          <w:rFonts w:ascii="Arial" w:hAnsi="Arial" w:cs="Arial"/>
          <w:spacing w:val="-2"/>
          <w:sz w:val="20"/>
          <w:szCs w:val="20"/>
        </w:rPr>
        <w:t xml:space="preserve">Capela), escultura "Bartira", de João Batista Ferri, e eventuais sítios arqueológicos. </w:t>
      </w:r>
    </w:p>
    <w:sectPr w:rsidR="0041637C" w:rsidSect="0041637C">
      <w:pgSz w:w="11900" w:h="16840"/>
      <w:pgMar w:top="1420" w:right="1640" w:bottom="20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DAB"/>
    <w:rsid w:val="0041637C"/>
    <w:rsid w:val="00525AD7"/>
    <w:rsid w:val="008D2DAB"/>
    <w:rsid w:val="00D0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183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2014-02-06T19:38:00Z</dcterms:created>
  <dcterms:modified xsi:type="dcterms:W3CDTF">2014-02-06T19:38:00Z</dcterms:modified>
</cp:coreProperties>
</file>