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3" w:rsidRDefault="008508F3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508F3" w:rsidRDefault="008508F3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508F3" w:rsidRDefault="008508F3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508F3" w:rsidRDefault="008508F3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8508F3" w:rsidRDefault="008508F3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43/92 </w:t>
      </w:r>
    </w:p>
    <w:p w:rsidR="008508F3" w:rsidRDefault="008508F3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8508F3" w:rsidRDefault="008508F3">
      <w:pPr>
        <w:widowControl w:val="0"/>
        <w:autoSpaceDE w:val="0"/>
        <w:autoSpaceDN w:val="0"/>
        <w:adjustRightInd w:val="0"/>
        <w:spacing w:line="200" w:lineRule="exact"/>
        <w:ind w:left="10" w:right="48" w:firstLine="425"/>
      </w:pPr>
      <w:r>
        <w:rPr>
          <w:rFonts w:ascii="Arial" w:hAnsi="Arial" w:cs="Arial"/>
          <w:spacing w:val="1"/>
          <w:sz w:val="20"/>
          <w:szCs w:val="20"/>
        </w:rPr>
        <w:t xml:space="preserve">Por decisão unânime dos Conselheiros presentes à reunião extraordinária realizada em 11 de </w:t>
      </w:r>
    </w:p>
    <w:p w:rsidR="008508F3" w:rsidRDefault="008508F3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z w:val="20"/>
          <w:szCs w:val="20"/>
        </w:rPr>
        <w:t>dezembro de 1992, o Conselho Municipal de Preservação do Patrimônio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Histórico, Cultural e Ambiental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-1"/>
          <w:sz w:val="20"/>
          <w:szCs w:val="20"/>
        </w:rPr>
        <w:t>da Cidade de São Paul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o - CONPRESP, nos termos e para os fins da Lei n 10.032/85, com as alterações </w:t>
      </w:r>
    </w:p>
    <w:p w:rsidR="008508F3" w:rsidRDefault="008508F3">
      <w:pPr>
        <w:widowControl w:val="0"/>
        <w:autoSpaceDE w:val="0"/>
        <w:autoSpaceDN w:val="0"/>
        <w:adjustRightInd w:val="0"/>
        <w:spacing w:line="114" w:lineRule="exact"/>
        <w:ind w:left="10" w:right="4750"/>
      </w:pPr>
      <w:r>
        <w:rPr>
          <w:rFonts w:ascii="Arial" w:hAnsi="Arial" w:cs="Arial"/>
          <w:spacing w:val="-1"/>
          <w:sz w:val="20"/>
          <w:szCs w:val="20"/>
        </w:rPr>
        <w:t xml:space="preserve">introduzidas pela Lei n 10.236/86, RESOLVE: </w:t>
      </w:r>
    </w:p>
    <w:p w:rsidR="008508F3" w:rsidRDefault="008508F3">
      <w:pPr>
        <w:widowControl w:val="0"/>
        <w:autoSpaceDE w:val="0"/>
        <w:autoSpaceDN w:val="0"/>
        <w:adjustRightInd w:val="0"/>
        <w:spacing w:line="226" w:lineRule="exact"/>
        <w:ind w:left="10" w:right="4750"/>
        <w:rPr>
          <w:sz w:val="23"/>
          <w:szCs w:val="23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aberto o processo de tombamento</w:t>
      </w:r>
      <w:r>
        <w:rPr>
          <w:rFonts w:ascii="Arial" w:hAnsi="Arial" w:cs="Arial"/>
          <w:spacing w:val="-2"/>
          <w:sz w:val="20"/>
          <w:szCs w:val="20"/>
        </w:rPr>
        <w:t xml:space="preserve"> dos seguintes imóveis, localizados no Bairro e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10" w:right="6576"/>
      </w:pPr>
      <w:r>
        <w:rPr>
          <w:rFonts w:ascii="Arial" w:hAnsi="Arial" w:cs="Arial"/>
          <w:spacing w:val="-3"/>
          <w:sz w:val="20"/>
          <w:szCs w:val="20"/>
        </w:rPr>
        <w:t xml:space="preserve">Distrito de Higienópolis: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221"/>
      </w:pPr>
      <w:r>
        <w:rPr>
          <w:rFonts w:ascii="Arial" w:hAnsi="Arial" w:cs="Arial"/>
          <w:spacing w:val="-2"/>
          <w:sz w:val="20"/>
          <w:szCs w:val="20"/>
        </w:rPr>
        <w:t>1.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Maranhão, 341</w:t>
      </w:r>
      <w:r>
        <w:rPr>
          <w:rFonts w:ascii="Arial" w:hAnsi="Arial" w:cs="Arial"/>
          <w:spacing w:val="-2"/>
          <w:sz w:val="20"/>
          <w:szCs w:val="20"/>
        </w:rPr>
        <w:t xml:space="preserve"> (Setor 010 - Quadra 004 - Lote 0062)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4241"/>
      </w:pPr>
      <w:r>
        <w:rPr>
          <w:rFonts w:ascii="Arial" w:hAnsi="Arial" w:cs="Arial"/>
          <w:spacing w:val="-3"/>
          <w:sz w:val="20"/>
          <w:szCs w:val="20"/>
        </w:rPr>
        <w:t>2.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Rua Maranhão, 371</w:t>
      </w:r>
      <w:r>
        <w:rPr>
          <w:rFonts w:ascii="Arial" w:hAnsi="Arial" w:cs="Arial"/>
          <w:spacing w:val="-3"/>
          <w:sz w:val="20"/>
          <w:szCs w:val="20"/>
        </w:rPr>
        <w:t xml:space="preserve"> (S 010 - Q 004 - L 0002) 3.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Rua Maranhão, 391</w:t>
      </w:r>
      <w:r>
        <w:rPr>
          <w:rFonts w:ascii="Arial" w:hAnsi="Arial" w:cs="Arial"/>
          <w:spacing w:val="-3"/>
          <w:sz w:val="20"/>
          <w:szCs w:val="20"/>
        </w:rPr>
        <w:t xml:space="preserve"> (S 010 - Q 004 - L 0003)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592"/>
      </w:pPr>
      <w:r>
        <w:rPr>
          <w:rFonts w:ascii="Arial" w:hAnsi="Arial" w:cs="Arial"/>
          <w:spacing w:val="-2"/>
          <w:sz w:val="20"/>
          <w:szCs w:val="20"/>
        </w:rPr>
        <w:t>4.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890</w:t>
      </w:r>
      <w:r>
        <w:rPr>
          <w:rFonts w:ascii="Arial" w:hAnsi="Arial" w:cs="Arial"/>
          <w:spacing w:val="-2"/>
          <w:sz w:val="20"/>
          <w:szCs w:val="20"/>
        </w:rPr>
        <w:t xml:space="preserve"> (S 020 - Q 094) - L 0007) 5.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870</w:t>
      </w:r>
      <w:r>
        <w:rPr>
          <w:rFonts w:ascii="Arial" w:hAnsi="Arial" w:cs="Arial"/>
          <w:spacing w:val="-2"/>
          <w:sz w:val="20"/>
          <w:szCs w:val="20"/>
        </w:rPr>
        <w:t xml:space="preserve"> (S 020 - Q 094 - L 0006) 6.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758</w:t>
      </w:r>
      <w:r>
        <w:rPr>
          <w:rFonts w:ascii="Arial" w:hAnsi="Arial" w:cs="Arial"/>
          <w:spacing w:val="-2"/>
          <w:sz w:val="20"/>
          <w:szCs w:val="20"/>
        </w:rPr>
        <w:t xml:space="preserve"> (S 020 - Q 095 - L 0008)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052"/>
      </w:pPr>
      <w:r>
        <w:rPr>
          <w:rFonts w:ascii="Arial" w:hAnsi="Arial" w:cs="Arial"/>
          <w:spacing w:val="-2"/>
          <w:sz w:val="20"/>
          <w:szCs w:val="20"/>
        </w:rPr>
        <w:t>7.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720</w:t>
      </w:r>
      <w:r>
        <w:rPr>
          <w:rFonts w:ascii="Arial" w:hAnsi="Arial" w:cs="Arial"/>
          <w:spacing w:val="-2"/>
          <w:sz w:val="20"/>
          <w:szCs w:val="20"/>
        </w:rPr>
        <w:t xml:space="preserve"> (S 020 - Q 095 - L 0527 a 0534)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653"/>
      </w:pPr>
      <w:r>
        <w:rPr>
          <w:rFonts w:ascii="Arial" w:hAnsi="Arial" w:cs="Arial"/>
          <w:spacing w:val="-2"/>
          <w:sz w:val="20"/>
          <w:szCs w:val="20"/>
        </w:rPr>
        <w:t>8.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698</w:t>
      </w:r>
      <w:r>
        <w:rPr>
          <w:rFonts w:ascii="Arial" w:hAnsi="Arial" w:cs="Arial"/>
          <w:spacing w:val="-2"/>
          <w:sz w:val="20"/>
          <w:szCs w:val="20"/>
        </w:rPr>
        <w:t xml:space="preserve"> (S 020 - Q 095 - L 0010) 9.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674</w:t>
      </w:r>
      <w:r>
        <w:rPr>
          <w:rFonts w:ascii="Arial" w:hAnsi="Arial" w:cs="Arial"/>
          <w:spacing w:val="-2"/>
          <w:sz w:val="20"/>
          <w:szCs w:val="20"/>
        </w:rPr>
        <w:t xml:space="preserve"> (S 020 - Q 095 - L 0011)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1150"/>
      </w:pPr>
      <w:r>
        <w:rPr>
          <w:rFonts w:ascii="Arial" w:hAnsi="Arial" w:cs="Arial"/>
          <w:spacing w:val="-2"/>
          <w:sz w:val="20"/>
          <w:szCs w:val="20"/>
        </w:rPr>
        <w:t>10.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628, 638, 648 e 658</w:t>
      </w:r>
      <w:r>
        <w:rPr>
          <w:rFonts w:ascii="Arial" w:hAnsi="Arial" w:cs="Arial"/>
          <w:spacing w:val="-2"/>
          <w:sz w:val="20"/>
          <w:szCs w:val="20"/>
        </w:rPr>
        <w:t xml:space="preserve"> (S 020 - Q 095 - L 0012, 0013 e 0756)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662"/>
      </w:pPr>
      <w:r>
        <w:rPr>
          <w:rFonts w:ascii="Arial" w:hAnsi="Arial" w:cs="Arial"/>
          <w:spacing w:val="-2"/>
          <w:sz w:val="20"/>
          <w:szCs w:val="20"/>
        </w:rPr>
        <w:t>11.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618</w:t>
      </w:r>
      <w:r>
        <w:rPr>
          <w:rFonts w:ascii="Arial" w:hAnsi="Arial" w:cs="Arial"/>
          <w:spacing w:val="-2"/>
          <w:sz w:val="20"/>
          <w:szCs w:val="20"/>
        </w:rPr>
        <w:t xml:space="preserve"> (S 020 Q 095 - L 0016)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436" w:right="801"/>
      </w:pPr>
      <w:r>
        <w:rPr>
          <w:rFonts w:ascii="Arial" w:hAnsi="Arial" w:cs="Arial"/>
          <w:spacing w:val="-2"/>
          <w:sz w:val="20"/>
          <w:szCs w:val="20"/>
        </w:rPr>
        <w:t>12.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 esquina com Avenida Angélica, 1212</w:t>
      </w:r>
      <w:r>
        <w:rPr>
          <w:rFonts w:ascii="Arial" w:hAnsi="Arial" w:cs="Arial"/>
          <w:spacing w:val="-2"/>
          <w:sz w:val="20"/>
          <w:szCs w:val="20"/>
        </w:rPr>
        <w:t xml:space="preserve"> (S020 - Q 095 - L 0021)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551"/>
      </w:pPr>
      <w:r>
        <w:rPr>
          <w:rFonts w:ascii="Arial" w:hAnsi="Arial" w:cs="Arial"/>
          <w:spacing w:val="-2"/>
          <w:sz w:val="20"/>
          <w:szCs w:val="20"/>
        </w:rPr>
        <w:t>13.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462</w:t>
      </w:r>
      <w:r>
        <w:rPr>
          <w:rFonts w:ascii="Arial" w:hAnsi="Arial" w:cs="Arial"/>
          <w:spacing w:val="-2"/>
          <w:sz w:val="20"/>
          <w:szCs w:val="20"/>
        </w:rPr>
        <w:t xml:space="preserve"> (S 007 - Q 043 - L 0006) 14.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436</w:t>
      </w:r>
      <w:r>
        <w:rPr>
          <w:rFonts w:ascii="Arial" w:hAnsi="Arial" w:cs="Arial"/>
          <w:spacing w:val="-2"/>
          <w:sz w:val="20"/>
          <w:szCs w:val="20"/>
        </w:rPr>
        <w:t xml:space="preserve"> (S 007 - Q 043 - L0005) 15.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232</w:t>
      </w:r>
      <w:r>
        <w:rPr>
          <w:rFonts w:ascii="Arial" w:hAnsi="Arial" w:cs="Arial"/>
          <w:spacing w:val="-2"/>
          <w:sz w:val="20"/>
          <w:szCs w:val="20"/>
        </w:rPr>
        <w:t xml:space="preserve"> (S 007 - Q 053 - L 0002)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653"/>
      </w:pPr>
      <w:r>
        <w:rPr>
          <w:rFonts w:ascii="Arial" w:hAnsi="Arial" w:cs="Arial"/>
          <w:spacing w:val="-2"/>
          <w:sz w:val="20"/>
          <w:szCs w:val="20"/>
        </w:rPr>
        <w:t>16.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18</w:t>
      </w:r>
      <w:r>
        <w:rPr>
          <w:rFonts w:ascii="Arial" w:hAnsi="Arial" w:cs="Arial"/>
          <w:spacing w:val="-2"/>
          <w:sz w:val="20"/>
          <w:szCs w:val="20"/>
        </w:rPr>
        <w:t xml:space="preserve"> (S 007 - Q 054 - L 0001)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436" w:right="4561"/>
      </w:pPr>
      <w:r>
        <w:rPr>
          <w:rFonts w:ascii="Arial" w:hAnsi="Arial" w:cs="Arial"/>
          <w:spacing w:val="-3"/>
          <w:sz w:val="20"/>
          <w:szCs w:val="20"/>
        </w:rPr>
        <w:t>17.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Rua Piauí, 874</w:t>
      </w:r>
      <w:r>
        <w:rPr>
          <w:rFonts w:ascii="Arial" w:hAnsi="Arial" w:cs="Arial"/>
          <w:spacing w:val="-3"/>
          <w:sz w:val="20"/>
          <w:szCs w:val="20"/>
        </w:rPr>
        <w:t xml:space="preserve"> (S 011 - Q 101 - L 0018)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262"/>
      </w:pPr>
      <w:r>
        <w:rPr>
          <w:rFonts w:ascii="Arial" w:hAnsi="Arial" w:cs="Arial"/>
          <w:spacing w:val="-2"/>
          <w:sz w:val="20"/>
          <w:szCs w:val="20"/>
        </w:rPr>
        <w:t>18.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Piauí, 1164 e 1168</w:t>
      </w:r>
      <w:r>
        <w:rPr>
          <w:rFonts w:ascii="Arial" w:hAnsi="Arial" w:cs="Arial"/>
          <w:spacing w:val="-2"/>
          <w:sz w:val="20"/>
          <w:szCs w:val="20"/>
        </w:rPr>
        <w:t xml:space="preserve"> (S 011 - Q 089 - L 0028 a 0036)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3722"/>
      </w:pPr>
      <w:r>
        <w:rPr>
          <w:rFonts w:ascii="Arial" w:hAnsi="Arial" w:cs="Arial"/>
          <w:spacing w:val="-2"/>
          <w:sz w:val="20"/>
          <w:szCs w:val="20"/>
        </w:rPr>
        <w:t>19.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Marquês de Itu, 968</w:t>
      </w:r>
      <w:r>
        <w:rPr>
          <w:rFonts w:ascii="Arial" w:hAnsi="Arial" w:cs="Arial"/>
          <w:spacing w:val="-2"/>
          <w:sz w:val="20"/>
          <w:szCs w:val="20"/>
        </w:rPr>
        <w:t xml:space="preserve"> (S 007 - Q 044 - L 0003) 20.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Rio de Janeiro, 211</w:t>
      </w:r>
      <w:r>
        <w:rPr>
          <w:rFonts w:ascii="Arial" w:hAnsi="Arial" w:cs="Arial"/>
          <w:spacing w:val="-2"/>
          <w:sz w:val="20"/>
          <w:szCs w:val="20"/>
        </w:rPr>
        <w:t xml:space="preserve"> (S 011 - Q 089 - L 0060) 21.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Dr. Veiga Filho, 35</w:t>
      </w:r>
      <w:r>
        <w:rPr>
          <w:rFonts w:ascii="Arial" w:hAnsi="Arial" w:cs="Arial"/>
          <w:spacing w:val="-2"/>
          <w:sz w:val="20"/>
          <w:szCs w:val="20"/>
        </w:rPr>
        <w:t xml:space="preserve"> (S 020 - Q 095 - L 0036)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2082"/>
      </w:pPr>
      <w:r>
        <w:rPr>
          <w:rFonts w:ascii="Arial" w:hAnsi="Arial" w:cs="Arial"/>
          <w:spacing w:val="-2"/>
          <w:sz w:val="20"/>
          <w:szCs w:val="20"/>
        </w:rPr>
        <w:t>22.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Conselheiro Brotero, 1092</w:t>
      </w:r>
      <w:r>
        <w:rPr>
          <w:rFonts w:ascii="Arial" w:hAnsi="Arial" w:cs="Arial"/>
          <w:spacing w:val="-2"/>
          <w:sz w:val="20"/>
          <w:szCs w:val="20"/>
        </w:rPr>
        <w:t xml:space="preserve"> - Edifício Higienópolis (S 020 - Q 073)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436" w:right="48"/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Avenida Higienópolis, 235/265</w:t>
      </w:r>
      <w:r>
        <w:rPr>
          <w:rFonts w:ascii="Arial" w:hAnsi="Arial" w:cs="Arial"/>
          <w:sz w:val="20"/>
          <w:szCs w:val="20"/>
        </w:rPr>
        <w:t xml:space="preserve"> - Edifício Prudência e Capitalização (S 010 - Q 002 - L 02 a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10" w:right="8107"/>
      </w:pPr>
      <w:r>
        <w:rPr>
          <w:rFonts w:ascii="Arial" w:hAnsi="Arial" w:cs="Arial"/>
          <w:spacing w:val="-12"/>
          <w:sz w:val="20"/>
          <w:szCs w:val="20"/>
        </w:rPr>
        <w:t xml:space="preserve">039)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1181"/>
      </w:pPr>
      <w:r>
        <w:rPr>
          <w:rFonts w:ascii="Arial" w:hAnsi="Arial" w:cs="Arial"/>
          <w:spacing w:val="-2"/>
          <w:sz w:val="20"/>
          <w:szCs w:val="20"/>
        </w:rPr>
        <w:t>24.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Avenida Higienópolis, 938</w:t>
      </w:r>
      <w:r>
        <w:rPr>
          <w:rFonts w:ascii="Arial" w:hAnsi="Arial" w:cs="Arial"/>
          <w:spacing w:val="-2"/>
          <w:sz w:val="20"/>
          <w:szCs w:val="20"/>
        </w:rPr>
        <w:t xml:space="preserve"> - Edifício Bretagne (S 020 - Q 094 - L 161 a 191, etc.).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436" w:right="1181"/>
        <w:rPr>
          <w:sz w:val="23"/>
          <w:szCs w:val="23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436" w:right="49"/>
      </w:pPr>
      <w:r>
        <w:rPr>
          <w:rFonts w:ascii="Arial" w:hAnsi="Arial" w:cs="Arial"/>
          <w:b/>
          <w:bCs/>
          <w:spacing w:val="-1"/>
          <w:sz w:val="20"/>
          <w:szCs w:val="20"/>
        </w:rPr>
        <w:t>Parágrafo Único</w:t>
      </w:r>
      <w:r>
        <w:rPr>
          <w:rFonts w:ascii="Arial" w:hAnsi="Arial" w:cs="Arial"/>
          <w:spacing w:val="-1"/>
          <w:sz w:val="20"/>
          <w:szCs w:val="20"/>
        </w:rPr>
        <w:t xml:space="preserve"> - A presente Resolução aplica-se aos seguintes elementos dos lotes: edificações,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arborização, ajardinamentos, muros, gradis e demais elementos arquitetônicos das áreas externas das </w:t>
      </w:r>
      <w:r>
        <w:rPr>
          <w:rFonts w:ascii="Arial" w:hAnsi="Arial" w:cs="Arial"/>
          <w:spacing w:val="-4"/>
          <w:sz w:val="20"/>
          <w:szCs w:val="20"/>
        </w:rPr>
        <w:t xml:space="preserve">edificações principais. </w:t>
      </w:r>
    </w:p>
    <w:p w:rsidR="008508F3" w:rsidRDefault="008508F3">
      <w:pPr>
        <w:widowControl w:val="0"/>
        <w:autoSpaceDE w:val="0"/>
        <w:autoSpaceDN w:val="0"/>
        <w:adjustRightInd w:val="0"/>
        <w:spacing w:line="226" w:lineRule="exact"/>
        <w:ind w:left="10" w:right="48"/>
        <w:rPr>
          <w:sz w:val="23"/>
          <w:szCs w:val="23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pacing w:val="2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- Os bens em processo de tombamento, descritos no Artigo 1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, são passíveis de </w:t>
      </w:r>
    </w:p>
    <w:p w:rsidR="008508F3" w:rsidRDefault="008508F3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1"/>
          <w:sz w:val="20"/>
          <w:szCs w:val="20"/>
        </w:rPr>
        <w:t xml:space="preserve">restauração, reciclagem, revitalização e reformas, visando sua adequação funcional, devendo os </w:t>
      </w:r>
      <w:r>
        <w:rPr>
          <w:rFonts w:ascii="Arial" w:hAnsi="Arial" w:cs="Arial"/>
          <w:spacing w:val="-3"/>
          <w:sz w:val="20"/>
          <w:szCs w:val="20"/>
        </w:rPr>
        <w:t xml:space="preserve">projetos serem submetidos à prévia aprovação do CONPRESP. </w:t>
      </w:r>
    </w:p>
    <w:p w:rsidR="008508F3" w:rsidRDefault="008508F3">
      <w:pPr>
        <w:widowControl w:val="0"/>
        <w:autoSpaceDE w:val="0"/>
        <w:autoSpaceDN w:val="0"/>
        <w:adjustRightInd w:val="0"/>
        <w:spacing w:line="225" w:lineRule="exact"/>
        <w:ind w:left="10" w:right="48"/>
        <w:rPr>
          <w:sz w:val="22"/>
          <w:szCs w:val="22"/>
        </w:rPr>
      </w:pPr>
    </w:p>
    <w:p w:rsidR="008508F3" w:rsidRDefault="008508F3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Os projetos de ampliações ou novas edificações nas áreas livres dos imóveis em </w:t>
      </w:r>
    </w:p>
    <w:p w:rsidR="008508F3" w:rsidRDefault="008508F3">
      <w:pPr>
        <w:widowControl w:val="0"/>
        <w:autoSpaceDE w:val="0"/>
        <w:autoSpaceDN w:val="0"/>
        <w:adjustRightInd w:val="0"/>
        <w:spacing w:line="230" w:lineRule="exact"/>
        <w:ind w:left="10" w:right="152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processo de tombamento deverão ser submetidos à prévia aprovação do CONPRESP. </w:t>
      </w:r>
    </w:p>
    <w:sectPr w:rsidR="008508F3" w:rsidSect="008508F3">
      <w:pgSz w:w="11900" w:h="16840"/>
      <w:pgMar w:top="1420" w:right="1640" w:bottom="5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EEE"/>
    <w:rsid w:val="00525AD7"/>
    <w:rsid w:val="008508F3"/>
    <w:rsid w:val="00B92EEE"/>
    <w:rsid w:val="00E1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438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2014-02-06T19:38:00Z</dcterms:created>
  <dcterms:modified xsi:type="dcterms:W3CDTF">2014-02-06T19:38:00Z</dcterms:modified>
</cp:coreProperties>
</file>