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REUNIÃO DO SUBCOMITÊ DE SAÚDE COMITÊ INTERSETORIAL DA POLÍTICA MUNICIPAL PARA A POPULAÇÃO EM SITUAÇÃO DE RUA</w:t>
      </w:r>
      <w:r w:rsidDel="00000000" w:rsidR="00000000" w:rsidRPr="00000000">
        <w:rPr>
          <w:sz w:val="24"/>
          <w:szCs w:val="24"/>
          <w:rtl w:val="0"/>
        </w:rPr>
        <w:t xml:space="preserve">, REALIZADA NO DIA 25 DE ABRIL DE 2018, NO AUDITÓRIO DA SECRETARIA MUNICIPAL DE DIREITOS HUMANOS E CIDADANIA. Presentes: Darcy da Silva Costa (RPR), Robson César Correia de Mendonça (MEPSR), Carmen Lucia de Albuquerque Santana (UNIFESP), Luiz Carlos Silva Araújo (REDE RUA),Cássia Fellet (UNIFESP), José França (RPR).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Inicialmente foram colhidas contribuições para a ata que será encaminhada por e-mail para leitura dos integrantes do GT. 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Alcyr passou a retomada dos trabalhos do grupo na reunião anterior. A sra. Carmen sugeriu que pauta de recomendação acerca do termo de referência do processo de contratação do consultório na rua fosse encaminhada ao plenário do Comitê PopRua. O que foi aprovado por consenso.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grupo passou a discutir pautas de atuação.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Carmen apresentou a problemática do apoio ao cuidado em saúde na rede de SMADS. Dando exemplos de pessoas que não podem guardar a insulina na geladeira do albergue, educadores sociais que relatam serem proibidos de lembrarem as pessoas de tomar medicação.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Também na problemática da interface assistência/saúde foi levantado a temática dos equipamentos para pessoas com comprometimentos de autonomia e convalescentes.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Rosi manifestou preocupação com o risco de sobrecarregar o PS da Barra Funda com o fechamento das AMAs.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grupo adotou a seguinte agenda: 1) Consultório na Rua; 2) Protocolos de apoio aos cuidados de Saúde; 3 ) Equipamentos para convalescentes.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Encaminhamentos: 1) A secretaria executiva articulará reunião entre o Subcomite, Proteção Especial, COVISA e Atenção Básica</w:t>
      </w:r>
    </w:p>
    <w:p w:rsidR="00000000" w:rsidDel="00000000" w:rsidP="00000000" w:rsidRDefault="00000000" w:rsidRPr="00000000" w14:paraId="0000000A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consolat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Inconsolata" w:cs="Inconsolata" w:eastAsia="Inconsolata" w:hAnsi="Inconsolat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Inconsolata" w:cs="Inconsolata" w:eastAsia="Inconsolata" w:hAnsi="Inconsolat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Inconsolata" w:cs="Inconsolata" w:eastAsia="Inconsolata" w:hAnsi="Inconsolata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Inconsolata" w:cs="Inconsolata" w:eastAsia="Inconsolata" w:hAnsi="Inconsolat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Inconsolata" w:cs="Inconsolata" w:eastAsia="Inconsolata" w:hAnsi="Inconsolata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consolata-regular.ttf"/><Relationship Id="rId2" Type="http://schemas.openxmlformats.org/officeDocument/2006/relationships/font" Target="fonts/Inconsolat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