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49" w:rsidRPr="00AF7670" w:rsidRDefault="00890949">
      <w:pPr>
        <w:jc w:val="center"/>
        <w:rPr>
          <w:b/>
        </w:rPr>
      </w:pPr>
      <w:r w:rsidRPr="00AF7670">
        <w:rPr>
          <w:b/>
        </w:rPr>
        <w:t>Conselho Municipal de Imigrantes</w:t>
      </w:r>
    </w:p>
    <w:p w:rsidR="00890949" w:rsidRPr="00AF7670" w:rsidRDefault="00890949">
      <w:pPr>
        <w:jc w:val="center"/>
        <w:rPr>
          <w:b/>
        </w:rPr>
      </w:pPr>
    </w:p>
    <w:p w:rsidR="00890949" w:rsidRPr="00AF7670" w:rsidRDefault="00890949">
      <w:pPr>
        <w:jc w:val="center"/>
        <w:rPr>
          <w:b/>
        </w:rPr>
      </w:pPr>
      <w:r w:rsidRPr="00AF7670">
        <w:rPr>
          <w:b/>
        </w:rPr>
        <w:t>31 de Janeiro de 2020</w:t>
      </w:r>
    </w:p>
    <w:p w:rsidR="00890949" w:rsidRPr="00AF7670" w:rsidRDefault="00890949">
      <w:pPr>
        <w:jc w:val="center"/>
        <w:rPr>
          <w:b/>
        </w:rPr>
      </w:pPr>
      <w:r w:rsidRPr="00AF7670">
        <w:rPr>
          <w:b/>
        </w:rPr>
        <w:t>15:00-19h00</w:t>
      </w:r>
    </w:p>
    <w:p w:rsidR="00890949" w:rsidRPr="00AF7670" w:rsidRDefault="00890949">
      <w:pPr>
        <w:jc w:val="center"/>
        <w:rPr>
          <w:b/>
        </w:rPr>
      </w:pPr>
    </w:p>
    <w:p w:rsidR="00890949" w:rsidRPr="00AF7670" w:rsidRDefault="00890949">
      <w:pPr>
        <w:jc w:val="center"/>
        <w:rPr>
          <w:b/>
        </w:rPr>
      </w:pPr>
      <w:r w:rsidRPr="00AF7670">
        <w:rPr>
          <w:b/>
        </w:rPr>
        <w:t>Secretaria Municipal de Direitos Humanos e Cidadania</w:t>
      </w:r>
    </w:p>
    <w:p w:rsidR="00890949" w:rsidRPr="00AF7670" w:rsidRDefault="00890949">
      <w:pPr>
        <w:jc w:val="center"/>
        <w:rPr>
          <w:b/>
        </w:rPr>
      </w:pPr>
      <w:r w:rsidRPr="00AF7670">
        <w:rPr>
          <w:b/>
        </w:rPr>
        <w:t>Rua Líbero Badaró, 119</w:t>
      </w:r>
    </w:p>
    <w:p w:rsidR="00890949" w:rsidRPr="00AF7670" w:rsidRDefault="00890949"/>
    <w:p w:rsidR="00890949" w:rsidRPr="00AF7670" w:rsidRDefault="00890949">
      <w:pPr>
        <w:jc w:val="center"/>
        <w:rPr>
          <w:b/>
        </w:rPr>
      </w:pPr>
      <w:r w:rsidRPr="00AF7670">
        <w:rPr>
          <w:b/>
        </w:rPr>
        <w:t>ATA DA 24ª REUNIÃO ORDINÁRIA DO CMI</w:t>
      </w:r>
    </w:p>
    <w:p w:rsidR="00890949" w:rsidRPr="00AF7670" w:rsidRDefault="00890949">
      <w:pPr>
        <w:jc w:val="center"/>
        <w:rPr>
          <w:b/>
        </w:rPr>
      </w:pPr>
    </w:p>
    <w:p w:rsidR="00890949" w:rsidRPr="00AF7670" w:rsidRDefault="00890949">
      <w:pPr>
        <w:jc w:val="center"/>
        <w:rPr>
          <w:b/>
        </w:rPr>
      </w:pPr>
      <w:r w:rsidRPr="00AF7670">
        <w:rPr>
          <w:b/>
        </w:rPr>
        <w:t>Presença de membros eleitos da sociedade civil</w:t>
      </w:r>
    </w:p>
    <w:tbl>
      <w:tblPr>
        <w:tblW w:w="991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360"/>
        <w:gridCol w:w="4303"/>
        <w:gridCol w:w="561"/>
      </w:tblGrid>
      <w:tr w:rsidR="00890949" w:rsidRPr="00AF7670" w:rsidTr="00413D0C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0949" w:rsidRPr="00AF7670" w:rsidRDefault="00890949">
            <w:r w:rsidRPr="00AF7670">
              <w:t>Sociedade civil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890949" w:rsidRPr="00AF7670" w:rsidRDefault="00890949">
            <w:r w:rsidRPr="00AF7670">
              <w:t> 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0949" w:rsidRPr="00AF7670" w:rsidRDefault="00890949">
            <w:r w:rsidRPr="00AF7670">
              <w:t>Suplentes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0949" w:rsidRPr="00AF7670" w:rsidRDefault="00890949">
            <w:r w:rsidRPr="00AF7670">
              <w:t> </w:t>
            </w:r>
          </w:p>
        </w:tc>
      </w:tr>
      <w:tr w:rsidR="00890949" w:rsidRPr="00AF7670" w:rsidTr="00AB360D">
        <w:trPr>
          <w:trHeight w:val="20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49" w:rsidRPr="00AF7670" w:rsidRDefault="00890949">
            <w:r w:rsidRPr="00AF7670">
              <w:t>Diack Samba (Associação Senegalesa de São Paulo – ASENSP)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/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0949" w:rsidRPr="00AF7670" w:rsidRDefault="00890949" w:rsidP="00AB360D">
            <w:r w:rsidRPr="00AF7670">
              <w:t>Elisa Jung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0949" w:rsidRPr="00AF7670" w:rsidRDefault="00AB360D" w:rsidP="00AB360D">
            <w:r w:rsidRPr="00AF7670">
              <w:t>x</w:t>
            </w:r>
          </w:p>
        </w:tc>
      </w:tr>
      <w:tr w:rsidR="00890949" w:rsidRPr="00AF7670" w:rsidTr="00413D0C">
        <w:trPr>
          <w:trHeight w:val="1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Diego Meriguetti (Cáritas)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/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Elissa Fortunato (Bibliaspa)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AB360D">
            <w:r w:rsidRPr="00AF7670">
              <w:t>x</w:t>
            </w:r>
          </w:p>
        </w:tc>
      </w:tr>
      <w:tr w:rsidR="00890949" w:rsidRPr="00AF7670" w:rsidTr="00413D0C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49" w:rsidRPr="00AF7670" w:rsidRDefault="00890949">
            <w:r w:rsidRPr="00AF7670">
              <w:t>Isabel Torres (CAMI)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/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949" w:rsidRPr="00AF7670" w:rsidRDefault="00890949">
            <w:r w:rsidRPr="00AF7670">
              <w:t>Keder Lafortune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949" w:rsidRPr="00AF7670" w:rsidRDefault="00AB360D">
            <w:r w:rsidRPr="00AF7670">
              <w:t>x</w:t>
            </w:r>
          </w:p>
        </w:tc>
      </w:tr>
      <w:tr w:rsidR="00890949" w:rsidRPr="00AF7670" w:rsidTr="00413D0C">
        <w:trPr>
          <w:trHeight w:val="28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Letícia Carvalho (Missão Paz)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/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Hortense Mbuyi Mwanza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890949"/>
        </w:tc>
      </w:tr>
      <w:tr w:rsidR="00890949" w:rsidRPr="00AF7670" w:rsidTr="00413D0C">
        <w:trPr>
          <w:trHeight w:val="1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49" w:rsidRPr="00AF7670" w:rsidRDefault="00890949">
            <w:r w:rsidRPr="00AF7670">
              <w:t>Nour Massoud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/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949" w:rsidRPr="00AF7670" w:rsidRDefault="00890949">
            <w:r w:rsidRPr="00AF7670">
              <w:t>Jean Mulondayi (África do Coração)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949" w:rsidRPr="00AF7670" w:rsidRDefault="00890949"/>
        </w:tc>
      </w:tr>
      <w:tr w:rsidR="00890949" w:rsidRPr="00AF7670" w:rsidTr="00413D0C">
        <w:trPr>
          <w:trHeight w:val="3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Oriana Jara (Presença da América Latina – PAL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/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60D" w:rsidRPr="00AF7670" w:rsidRDefault="00890949">
            <w:r w:rsidRPr="00AF7670">
              <w:t>Ngalula Lorenzo Freddy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 </w:t>
            </w:r>
          </w:p>
        </w:tc>
      </w:tr>
      <w:tr w:rsidR="00890949" w:rsidRPr="00AF7670" w:rsidTr="00413D0C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49" w:rsidRPr="00AF7670" w:rsidRDefault="00890949">
            <w:r w:rsidRPr="00AF7670">
              <w:t xml:space="preserve">Tang Wei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/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949" w:rsidRPr="00AF7670" w:rsidRDefault="00890949">
            <w:r w:rsidRPr="00AF7670">
              <w:t>René Barrientos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949" w:rsidRPr="00AF7670" w:rsidRDefault="00890949"/>
        </w:tc>
      </w:tr>
      <w:tr w:rsidR="00890949" w:rsidRPr="00AF7670" w:rsidTr="00413D0C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Yoo Na Kim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/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Tanya Tshisuaka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890949"/>
        </w:tc>
      </w:tr>
    </w:tbl>
    <w:p w:rsidR="00890949" w:rsidRPr="00AF7670" w:rsidRDefault="00890949"/>
    <w:p w:rsidR="00890949" w:rsidRPr="00AF7670" w:rsidRDefault="00890949">
      <w:r w:rsidRPr="00AF7670">
        <w:t>Presença de membros indicados do poder público</w:t>
      </w:r>
    </w:p>
    <w:tbl>
      <w:tblPr>
        <w:tblW w:w="992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360"/>
        <w:gridCol w:w="4320"/>
        <w:gridCol w:w="553"/>
      </w:tblGrid>
      <w:tr w:rsidR="00890949" w:rsidRPr="00AF7670" w:rsidTr="00413D0C">
        <w:trPr>
          <w:trHeight w:val="24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0949" w:rsidRPr="00AF7670" w:rsidRDefault="00890949">
            <w:r w:rsidRPr="00AF7670">
              <w:t>Secretarias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890949" w:rsidRPr="00AF7670" w:rsidRDefault="00890949">
            <w:r w:rsidRPr="00AF7670"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890949" w:rsidRPr="00AF7670" w:rsidRDefault="00890949">
            <w:bookmarkStart w:id="0" w:name="_heading=h.gjdgxs" w:colFirst="0" w:colLast="0"/>
            <w:bookmarkEnd w:id="0"/>
            <w:r w:rsidRPr="00AF7670">
              <w:t>Suplentes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890949" w:rsidRPr="00AF7670" w:rsidRDefault="00890949"/>
        </w:tc>
      </w:tr>
      <w:tr w:rsidR="00890949" w:rsidRPr="00AF7670" w:rsidTr="00413D0C">
        <w:trPr>
          <w:trHeight w:val="28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90949" w:rsidRPr="00AF7670" w:rsidRDefault="00890949">
            <w:r w:rsidRPr="00AF7670">
              <w:t>SMDHC – Titular: Jennifer Alvarez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AB360D">
            <w:r w:rsidRPr="00AF7670"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>
            <w:r w:rsidRPr="00AF7670">
              <w:t>SMDHC – Suplente: Erika Lipa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/>
        </w:tc>
      </w:tr>
      <w:tr w:rsidR="00890949" w:rsidRPr="00AF7670" w:rsidTr="00413D0C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SMPR – Titular: Helio de Oliveira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 xml:space="preserve">SMPR – Suplente: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/>
        </w:tc>
      </w:tr>
      <w:tr w:rsidR="00890949" w:rsidRPr="00AF7670" w:rsidTr="00413D0C">
        <w:trPr>
          <w:trHeight w:val="2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90949" w:rsidRPr="00AF7670" w:rsidRDefault="00890949" w:rsidP="00AB360D">
            <w:r w:rsidRPr="00AF7670">
              <w:t xml:space="preserve">SMC – Titular: </w:t>
            </w:r>
            <w:r w:rsidR="00AB360D" w:rsidRPr="00AF7670">
              <w:t xml:space="preserve">Sylvia Monastérios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>
            <w:r w:rsidRPr="00AF7670">
              <w:t> </w:t>
            </w:r>
            <w:r w:rsidR="00D66EC2"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>
            <w:r w:rsidRPr="00AF7670">
              <w:t xml:space="preserve">SMC – Suplente: </w:t>
            </w:r>
            <w:r w:rsidR="00AB360D" w:rsidRPr="00AF7670">
              <w:t xml:space="preserve">Natalia </w:t>
            </w:r>
            <w:r w:rsidRPr="00AF7670">
              <w:t>Benvenutti de Andrade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/>
        </w:tc>
      </w:tr>
      <w:tr w:rsidR="00890949" w:rsidRPr="00AF7670" w:rsidTr="00413D0C">
        <w:trPr>
          <w:trHeight w:val="2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SMDE – Titular: Claudete Dias da Silva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/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 w:rsidP="00AB360D">
            <w:r w:rsidRPr="00AF7670">
              <w:t xml:space="preserve">SMDE – Suplente: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/>
        </w:tc>
      </w:tr>
      <w:tr w:rsidR="00890949" w:rsidRPr="00AF7670" w:rsidTr="00413D0C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90949" w:rsidRPr="00AF7670" w:rsidRDefault="00890949">
            <w:r w:rsidRPr="00AF7670">
              <w:t>SMADS – Titular: Maria Luiza Mancini do Nascimento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/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>
            <w:r w:rsidRPr="00AF7670">
              <w:t>SMADS – Suplente: Silvia Helena Maschesan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/>
        </w:tc>
      </w:tr>
      <w:tr w:rsidR="00890949" w:rsidRPr="00AF7670" w:rsidTr="00413D0C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SME – Titular: Maria Alice Zimmermann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SME – Suplente: Elayne Fernandes Pinheiro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/>
        </w:tc>
      </w:tr>
      <w:tr w:rsidR="00890949" w:rsidRPr="00AF7670" w:rsidTr="00413D0C">
        <w:trPr>
          <w:trHeight w:val="2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90949" w:rsidRPr="00AF7670" w:rsidRDefault="00890949">
            <w:r w:rsidRPr="00AF7670">
              <w:t>SEHAB – Titular: Suelma Inês Alves de Deus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>
            <w:r w:rsidRPr="00AF7670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>
            <w:r w:rsidRPr="00AF7670">
              <w:t>SEHAB – Suplente: Maria do Carmo Hueso Morales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90949" w:rsidRPr="00AF7670" w:rsidRDefault="00890949"/>
        </w:tc>
      </w:tr>
      <w:tr w:rsidR="00890949" w:rsidRPr="00AF7670" w:rsidTr="00413D0C">
        <w:trPr>
          <w:trHeight w:val="2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SMS – Titular: Breno Souza de Aguiar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/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890949">
            <w:r w:rsidRPr="00AF7670">
              <w:t>SMS – Suplente: Lucia Helena da Silva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0949" w:rsidRPr="00AF7670" w:rsidRDefault="00AB360D">
            <w:r w:rsidRPr="00AF7670">
              <w:t>x</w:t>
            </w:r>
          </w:p>
        </w:tc>
      </w:tr>
    </w:tbl>
    <w:p w:rsidR="00890949" w:rsidRPr="00AF7670" w:rsidRDefault="00890949"/>
    <w:p w:rsidR="00AB360D" w:rsidRPr="00AF7670" w:rsidRDefault="00AB360D"/>
    <w:p w:rsidR="00AB360D" w:rsidRPr="00AF7670" w:rsidRDefault="00AB360D"/>
    <w:p w:rsidR="00890949" w:rsidRPr="00AF7670" w:rsidRDefault="00890949">
      <w:pPr>
        <w:rPr>
          <w:b/>
        </w:rPr>
      </w:pPr>
      <w:r w:rsidRPr="00AF7670">
        <w:rPr>
          <w:b/>
        </w:rPr>
        <w:t>Participantes e observadores:</w:t>
      </w:r>
    </w:p>
    <w:p w:rsidR="00890949" w:rsidRPr="00AF7670" w:rsidRDefault="00AB360D">
      <w:r w:rsidRPr="00AF7670">
        <w:t xml:space="preserve">Da organização OKOIER: Belson Mazen da Cruz, Apolinário da Silva, Elcio Carvalho Junior, Victor Kiala José; Daniel Hernandes (DPS/SMDHC); Luz Molano (Coord. Relações Internacionais); Mariana Nogueira (DPU/SP –Promigra);Tatiana Waldman, Camila Breitenvieser, Gisele Netto, Miguel Santiago Martinez García, Jefferson Laranjeira da Silva, Guilherme Otero, Wilbert Rivas. </w:t>
      </w:r>
    </w:p>
    <w:p w:rsidR="00E27AB6" w:rsidRPr="00AF7670" w:rsidRDefault="00E27AB6"/>
    <w:p w:rsidR="00890949" w:rsidRPr="00AF7670" w:rsidRDefault="00890949" w:rsidP="00AB360D">
      <w:r w:rsidRPr="00AF7670">
        <w:rPr>
          <w:b/>
        </w:rPr>
        <w:t>Pautas</w:t>
      </w:r>
      <w:r w:rsidRPr="00AF7670">
        <w:t>:</w:t>
      </w:r>
    </w:p>
    <w:p w:rsidR="0003291F" w:rsidRPr="00AF7670" w:rsidRDefault="0003291F">
      <w:pPr>
        <w:jc w:val="both"/>
      </w:pPr>
    </w:p>
    <w:p w:rsidR="0003291F" w:rsidRPr="00301BA4" w:rsidRDefault="0003291F" w:rsidP="0003291F">
      <w:pPr>
        <w:pStyle w:val="NormalWeb"/>
        <w:spacing w:before="0" w:beforeAutospacing="0" w:after="0" w:afterAutospacing="0"/>
        <w:textAlignment w:val="baseline"/>
        <w:rPr>
          <w:bCs/>
          <w:color w:val="000000"/>
        </w:rPr>
      </w:pPr>
      <w:r w:rsidRPr="00301BA4">
        <w:rPr>
          <w:bCs/>
          <w:color w:val="000000"/>
        </w:rPr>
        <w:t>Aprovação da ata: 24ª reunião (03 de dezembro de 2019)</w:t>
      </w:r>
    </w:p>
    <w:p w:rsidR="0003291F" w:rsidRPr="00301BA4" w:rsidRDefault="0003291F" w:rsidP="0003291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301BA4">
        <w:rPr>
          <w:bCs/>
          <w:color w:val="000000"/>
        </w:rPr>
        <w:t>Informes:</w:t>
      </w:r>
    </w:p>
    <w:p w:rsidR="0003291F" w:rsidRPr="00301BA4" w:rsidRDefault="0003291F" w:rsidP="0003291F">
      <w:pPr>
        <w:pStyle w:val="NormalWeb"/>
        <w:spacing w:before="0" w:beforeAutospacing="0" w:after="0" w:afterAutospacing="0"/>
        <w:ind w:left="720"/>
      </w:pPr>
      <w:r w:rsidRPr="00301BA4">
        <w:rPr>
          <w:color w:val="000000"/>
        </w:rPr>
        <w:t>- Reunião com a Coordenação de Relações Internacionais.</w:t>
      </w:r>
    </w:p>
    <w:p w:rsidR="0003291F" w:rsidRPr="00301BA4" w:rsidRDefault="0003291F" w:rsidP="0003291F">
      <w:pPr>
        <w:pStyle w:val="NormalWeb"/>
        <w:spacing w:before="0" w:beforeAutospacing="0" w:after="0" w:afterAutospacing="0"/>
        <w:ind w:left="720"/>
      </w:pPr>
      <w:r w:rsidRPr="00301BA4">
        <w:rPr>
          <w:color w:val="000000"/>
        </w:rPr>
        <w:t>- Reunião com a SMSP, sobre as políticas públicas voltadas para a formalização de venda ambulante.</w:t>
      </w:r>
    </w:p>
    <w:p w:rsidR="0003291F" w:rsidRPr="00301BA4" w:rsidRDefault="0003291F" w:rsidP="0003291F">
      <w:pPr>
        <w:pStyle w:val="NormalWeb"/>
        <w:spacing w:before="0" w:beforeAutospacing="0" w:after="0" w:afterAutospacing="0"/>
        <w:ind w:left="720"/>
      </w:pPr>
      <w:r w:rsidRPr="00301BA4">
        <w:rPr>
          <w:color w:val="000000"/>
        </w:rPr>
        <w:t>- Definição sobre a Oficina com Jarina Filmes, para elaboração de vídeos para a Campanha Contra Xenofobia.</w:t>
      </w:r>
    </w:p>
    <w:p w:rsidR="0003291F" w:rsidRPr="00301BA4" w:rsidRDefault="0003291F" w:rsidP="0003291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301BA4">
        <w:rPr>
          <w:bCs/>
          <w:color w:val="000000"/>
        </w:rPr>
        <w:t>Indicação de representantes:  </w:t>
      </w:r>
    </w:p>
    <w:p w:rsidR="0003291F" w:rsidRPr="00301BA4" w:rsidRDefault="0003291F" w:rsidP="0003291F">
      <w:pPr>
        <w:pStyle w:val="NormalWeb"/>
        <w:spacing w:before="0" w:beforeAutospacing="0" w:after="0" w:afterAutospacing="0"/>
        <w:ind w:left="1440"/>
      </w:pPr>
      <w:r w:rsidRPr="00301BA4">
        <w:rPr>
          <w:color w:val="000000"/>
        </w:rPr>
        <w:t>a) Comissão de seleção ”edital de convênio de serviço” </w:t>
      </w:r>
    </w:p>
    <w:p w:rsidR="0003291F" w:rsidRPr="00301BA4" w:rsidRDefault="0003291F" w:rsidP="0003291F">
      <w:pPr>
        <w:pStyle w:val="NormalWeb"/>
        <w:spacing w:before="0" w:beforeAutospacing="0" w:after="0" w:afterAutospacing="0"/>
        <w:ind w:left="1440"/>
      </w:pPr>
      <w:r w:rsidRPr="00301BA4">
        <w:rPr>
          <w:color w:val="000000"/>
        </w:rPr>
        <w:t>b) Suplência no GT Migra</w:t>
      </w:r>
    </w:p>
    <w:p w:rsidR="0003291F" w:rsidRPr="00301BA4" w:rsidRDefault="0003291F" w:rsidP="0003291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301BA4">
        <w:rPr>
          <w:bCs/>
          <w:color w:val="000000"/>
        </w:rPr>
        <w:t xml:space="preserve">Apresentação da 1ª Versão - Relatório final da Conferência </w:t>
      </w:r>
    </w:p>
    <w:p w:rsidR="0003291F" w:rsidRPr="00301BA4" w:rsidRDefault="0003291F" w:rsidP="0003291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 w:rsidRPr="00301BA4">
        <w:rPr>
          <w:bCs/>
          <w:color w:val="000000"/>
        </w:rPr>
        <w:t>Eleições do CMI:</w:t>
      </w:r>
      <w:r w:rsidRPr="00301BA4">
        <w:rPr>
          <w:color w:val="000000"/>
        </w:rPr>
        <w:t> </w:t>
      </w:r>
    </w:p>
    <w:p w:rsidR="0003291F" w:rsidRPr="00301BA4" w:rsidRDefault="0003291F" w:rsidP="0003291F">
      <w:pPr>
        <w:pStyle w:val="NormalWeb"/>
        <w:spacing w:before="0" w:beforeAutospacing="0" w:after="0" w:afterAutospacing="0"/>
        <w:ind w:firstLine="720"/>
      </w:pPr>
      <w:r w:rsidRPr="00301BA4">
        <w:rPr>
          <w:color w:val="000000"/>
        </w:rPr>
        <w:t>Critérios para a composição de Comissão Eleitoral para a 2ª Eleição do CMI</w:t>
      </w:r>
    </w:p>
    <w:p w:rsidR="0003291F" w:rsidRPr="00301BA4" w:rsidRDefault="0003291F" w:rsidP="0003291F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301BA4">
        <w:rPr>
          <w:bCs/>
          <w:color w:val="000000"/>
        </w:rPr>
        <w:t>Cronograma 2020:</w:t>
      </w:r>
    </w:p>
    <w:p w:rsidR="0003291F" w:rsidRPr="00301BA4" w:rsidRDefault="0003291F" w:rsidP="0003291F">
      <w:pPr>
        <w:pStyle w:val="NormalWeb"/>
        <w:spacing w:before="0" w:beforeAutospacing="0" w:after="0" w:afterAutospacing="0"/>
        <w:ind w:firstLine="720"/>
      </w:pPr>
      <w:r w:rsidRPr="00301BA4">
        <w:rPr>
          <w:color w:val="000000"/>
        </w:rPr>
        <w:t>- Reuniões ordinárias: até junho/2020</w:t>
      </w:r>
    </w:p>
    <w:p w:rsidR="0003291F" w:rsidRPr="00301BA4" w:rsidRDefault="0003291F" w:rsidP="0003291F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301BA4">
        <w:rPr>
          <w:bCs/>
          <w:color w:val="000000"/>
        </w:rPr>
        <w:t>Criação de Grupos de Trabalho </w:t>
      </w:r>
    </w:p>
    <w:p w:rsidR="0003291F" w:rsidRPr="00301BA4" w:rsidRDefault="0003291F" w:rsidP="0003291F">
      <w:pPr>
        <w:pStyle w:val="NormalWeb"/>
        <w:spacing w:before="0" w:beforeAutospacing="0" w:after="0" w:afterAutospacing="0"/>
        <w:ind w:left="720"/>
      </w:pPr>
      <w:r w:rsidRPr="00301BA4">
        <w:rPr>
          <w:color w:val="000000"/>
        </w:rPr>
        <w:t>- GT Regimento Interno</w:t>
      </w:r>
    </w:p>
    <w:p w:rsidR="0003291F" w:rsidRPr="00301BA4" w:rsidRDefault="0003291F" w:rsidP="0003291F">
      <w:pPr>
        <w:pStyle w:val="NormalWeb"/>
        <w:spacing w:before="0" w:beforeAutospacing="0" w:after="0" w:afterAutospacing="0"/>
        <w:ind w:left="720"/>
      </w:pPr>
      <w:r w:rsidRPr="00301BA4">
        <w:rPr>
          <w:color w:val="000000"/>
        </w:rPr>
        <w:t>- GT Plano Municipal</w:t>
      </w:r>
    </w:p>
    <w:p w:rsidR="0003291F" w:rsidRPr="00AF7670" w:rsidRDefault="0003291F" w:rsidP="0003291F">
      <w:pPr>
        <w:pStyle w:val="NormalWeb"/>
        <w:spacing w:before="0" w:beforeAutospacing="0" w:after="0" w:afterAutospacing="0"/>
        <w:ind w:left="720"/>
      </w:pPr>
      <w:r w:rsidRPr="00AF7670">
        <w:rPr>
          <w:color w:val="000000"/>
        </w:rPr>
        <w:t>- GT Acolhimento e Integração de Imigrantes</w:t>
      </w:r>
    </w:p>
    <w:p w:rsidR="008B6339" w:rsidRPr="00AF7670" w:rsidRDefault="008B6339" w:rsidP="008B6339">
      <w:pPr>
        <w:pStyle w:val="NormalWeb"/>
        <w:spacing w:before="0" w:beforeAutospacing="0" w:after="0" w:afterAutospacing="0"/>
        <w:jc w:val="both"/>
      </w:pPr>
    </w:p>
    <w:p w:rsidR="007223D9" w:rsidRDefault="008B6339" w:rsidP="008B6339">
      <w:pPr>
        <w:pStyle w:val="NormalWeb"/>
        <w:spacing w:before="0" w:beforeAutospacing="0" w:after="0" w:afterAutospacing="0"/>
        <w:jc w:val="both"/>
      </w:pPr>
      <w:r w:rsidRPr="00AF7670">
        <w:t xml:space="preserve">A </w:t>
      </w:r>
      <w:r w:rsidR="00890949" w:rsidRPr="00AF7670">
        <w:t>Sra. Jennifer tomou a palavra desejando</w:t>
      </w:r>
      <w:r w:rsidRPr="00AF7670">
        <w:t xml:space="preserve"> feliz ano para os conselheiros. </w:t>
      </w:r>
    </w:p>
    <w:p w:rsidR="007223D9" w:rsidRDefault="007223D9" w:rsidP="008B6339">
      <w:pPr>
        <w:pStyle w:val="NormalWeb"/>
        <w:spacing w:before="0" w:beforeAutospacing="0" w:after="0" w:afterAutospacing="0"/>
        <w:jc w:val="both"/>
      </w:pPr>
    </w:p>
    <w:p w:rsidR="007223D9" w:rsidRDefault="007223D9" w:rsidP="007223D9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b/>
        </w:rPr>
      </w:pPr>
      <w:r w:rsidRPr="007223D9">
        <w:rPr>
          <w:b/>
        </w:rPr>
        <w:t xml:space="preserve">Informes: </w:t>
      </w:r>
    </w:p>
    <w:p w:rsidR="007223D9" w:rsidRPr="007223D9" w:rsidRDefault="007223D9" w:rsidP="007223D9">
      <w:pPr>
        <w:pStyle w:val="NormalWeb"/>
        <w:spacing w:before="0" w:beforeAutospacing="0" w:after="0" w:afterAutospacing="0"/>
        <w:ind w:left="720"/>
        <w:jc w:val="both"/>
        <w:rPr>
          <w:b/>
        </w:rPr>
      </w:pPr>
    </w:p>
    <w:p w:rsidR="00C61E8C" w:rsidRDefault="007223D9" w:rsidP="007223D9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AF7670">
        <w:rPr>
          <w:color w:val="000000"/>
        </w:rPr>
        <w:t>Reunião com a Coordenação de Relações Internacionais.</w:t>
      </w:r>
      <w:r>
        <w:t xml:space="preserve"> Na reunião a conselheira Yoo Na e teve como encaminhamento o apoio da CRI com a divulgação </w:t>
      </w:r>
      <w:r>
        <w:t>nos consulados</w:t>
      </w:r>
      <w:r>
        <w:t xml:space="preserve"> da próxima eleição do CMI.</w:t>
      </w:r>
    </w:p>
    <w:p w:rsidR="007223D9" w:rsidRDefault="007223D9" w:rsidP="008B633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</w:pPr>
      <w:r w:rsidRPr="007223D9">
        <w:rPr>
          <w:color w:val="000000"/>
        </w:rPr>
        <w:t xml:space="preserve">Reunião com a SMSP, sobre as políticas públicas voltadas para a formalização de venda </w:t>
      </w:r>
      <w:r w:rsidRPr="007223D9">
        <w:rPr>
          <w:color w:val="000000"/>
        </w:rPr>
        <w:t xml:space="preserve">ambulante: A </w:t>
      </w:r>
      <w:r w:rsidRPr="00AF7670">
        <w:t>SMSP</w:t>
      </w:r>
      <w:r>
        <w:t xml:space="preserve"> não tem encaminhado data para a reunião. </w:t>
      </w:r>
    </w:p>
    <w:p w:rsidR="007223D9" w:rsidRDefault="007223D9" w:rsidP="008B633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</w:pPr>
      <w:r w:rsidRPr="00AF7670">
        <w:rPr>
          <w:color w:val="000000"/>
        </w:rPr>
        <w:t>Definição sobre a Oficina com Jarina Filmes, para elaboração de vídeos p</w:t>
      </w:r>
      <w:r>
        <w:rPr>
          <w:color w:val="000000"/>
        </w:rPr>
        <w:t xml:space="preserve">ara a Campanha Contra Xenofobia: Foi definido que irá se discutir esse ponto, depois de abordar outros assuntos. </w:t>
      </w:r>
    </w:p>
    <w:p w:rsidR="00AF7670" w:rsidRDefault="007A6056" w:rsidP="008B6339">
      <w:pPr>
        <w:pStyle w:val="NormalWeb"/>
        <w:spacing w:before="0" w:beforeAutospacing="0" w:after="0" w:afterAutospacing="0"/>
        <w:jc w:val="both"/>
      </w:pPr>
      <w:r>
        <w:t xml:space="preserve">. </w:t>
      </w:r>
    </w:p>
    <w:p w:rsidR="007A6056" w:rsidRDefault="007A6056" w:rsidP="008B6339">
      <w:pPr>
        <w:pStyle w:val="NormalWeb"/>
        <w:spacing w:before="0" w:beforeAutospacing="0" w:after="0" w:afterAutospacing="0"/>
        <w:jc w:val="both"/>
      </w:pPr>
    </w:p>
    <w:p w:rsidR="007A6056" w:rsidRPr="00AF7670" w:rsidRDefault="007A6056" w:rsidP="007A6056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F7670">
        <w:rPr>
          <w:b/>
          <w:bCs/>
          <w:color w:val="000000"/>
        </w:rPr>
        <w:t>Indicação de representant</w:t>
      </w:r>
      <w:r>
        <w:rPr>
          <w:b/>
          <w:bCs/>
          <w:color w:val="000000"/>
        </w:rPr>
        <w:t>es</w:t>
      </w:r>
      <w:r w:rsidRPr="00AF7670">
        <w:rPr>
          <w:b/>
          <w:bCs/>
          <w:color w:val="000000"/>
        </w:rPr>
        <w:t>  </w:t>
      </w:r>
    </w:p>
    <w:p w:rsidR="007A6056" w:rsidRPr="00AF7670" w:rsidRDefault="007A6056" w:rsidP="008B6339">
      <w:pPr>
        <w:pStyle w:val="NormalWeb"/>
        <w:spacing w:before="0" w:beforeAutospacing="0" w:after="0" w:afterAutospacing="0"/>
        <w:jc w:val="both"/>
      </w:pPr>
    </w:p>
    <w:p w:rsidR="007223D9" w:rsidRDefault="00AF7670" w:rsidP="00AF7670">
      <w:pPr>
        <w:pStyle w:val="NormalWeb"/>
        <w:spacing w:before="0" w:beforeAutospacing="0" w:after="0" w:afterAutospacing="0"/>
        <w:jc w:val="both"/>
      </w:pPr>
      <w:r>
        <w:t>Foi informado</w:t>
      </w:r>
      <w:r w:rsidR="007223D9">
        <w:t xml:space="preserve"> ao plenário sobre a criação da</w:t>
      </w:r>
      <w:r>
        <w:t xml:space="preserve"> Comissão</w:t>
      </w:r>
      <w:r w:rsidR="007A6056">
        <w:t xml:space="preserve"> d</w:t>
      </w:r>
      <w:r w:rsidR="007223D9">
        <w:t xml:space="preserve">o Edital para a Gestão do CRAI. Esta comissão </w:t>
      </w:r>
      <w:r w:rsidR="007A6056">
        <w:t>irá monitorar o processo de chamamento público</w:t>
      </w:r>
      <w:r w:rsidR="007223D9">
        <w:t xml:space="preserve"> para as entidades interessadas na gestão do serviço</w:t>
      </w:r>
      <w:r w:rsidR="007A6056">
        <w:t>. Esta comissão contará com duas cadeiras para o CMI – titular e suplente-.</w:t>
      </w:r>
      <w:r w:rsidR="007223D9">
        <w:t xml:space="preserve"> Não houve interessados. Como encaminhamento foi definido fazer a chamada </w:t>
      </w:r>
      <w:r w:rsidR="00301BA4">
        <w:t xml:space="preserve">ao CMI </w:t>
      </w:r>
      <w:r w:rsidR="007223D9">
        <w:t xml:space="preserve">para participar desta comissão, pelo e-mail e pelo whatsapp. </w:t>
      </w:r>
    </w:p>
    <w:p w:rsidR="007223D9" w:rsidRDefault="007223D9" w:rsidP="00AF7670">
      <w:pPr>
        <w:pStyle w:val="NormalWeb"/>
        <w:spacing w:before="0" w:beforeAutospacing="0" w:after="0" w:afterAutospacing="0"/>
        <w:jc w:val="both"/>
      </w:pPr>
    </w:p>
    <w:p w:rsidR="00301BA4" w:rsidRDefault="00301BA4" w:rsidP="00AF7670">
      <w:pPr>
        <w:pStyle w:val="NormalWeb"/>
        <w:spacing w:before="0" w:beforeAutospacing="0" w:after="0" w:afterAutospacing="0"/>
        <w:jc w:val="both"/>
      </w:pPr>
      <w:r>
        <w:t>F</w:t>
      </w:r>
      <w:r w:rsidR="007A6056">
        <w:t xml:space="preserve">oi informado que o </w:t>
      </w:r>
      <w:r w:rsidR="00AF7670">
        <w:t xml:space="preserve">conselheiro Rene Barrientos não poderá acompanhar mais o GTMigra, portanto, haverá disponibilidade para outro/a conselheiro/a participar </w:t>
      </w:r>
      <w:r w:rsidR="007A6056">
        <w:t xml:space="preserve">deste GT da SMDET </w:t>
      </w:r>
      <w:r w:rsidR="00AF7670">
        <w:t>junto ao Sr. Keder.</w:t>
      </w:r>
    </w:p>
    <w:p w:rsidR="00301BA4" w:rsidRDefault="00301BA4" w:rsidP="00AF7670">
      <w:pPr>
        <w:pStyle w:val="NormalWeb"/>
        <w:spacing w:before="0" w:beforeAutospacing="0" w:after="0" w:afterAutospacing="0"/>
        <w:jc w:val="both"/>
      </w:pPr>
    </w:p>
    <w:p w:rsidR="00AF7670" w:rsidRDefault="007A6056" w:rsidP="00AF7670">
      <w:pPr>
        <w:pStyle w:val="NormalWeb"/>
        <w:spacing w:before="0" w:beforeAutospacing="0" w:after="0" w:afterAutospacing="0"/>
        <w:jc w:val="both"/>
      </w:pPr>
      <w:r>
        <w:t xml:space="preserve">Em ambos os casos, os conselheiros poderão se manifestar interesse até sexta-feira 14, via e-mail ou whatsapp, e sua definição ocorrerá na próxima reunião do CMI. </w:t>
      </w:r>
    </w:p>
    <w:p w:rsidR="00AF7670" w:rsidRDefault="00AF7670" w:rsidP="00AF7670">
      <w:pPr>
        <w:pStyle w:val="NormalWeb"/>
        <w:spacing w:before="0" w:beforeAutospacing="0" w:after="0" w:afterAutospacing="0"/>
        <w:jc w:val="both"/>
      </w:pPr>
    </w:p>
    <w:p w:rsidR="00890949" w:rsidRPr="00AF7670" w:rsidRDefault="00890949" w:rsidP="007A6056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b/>
        </w:rPr>
      </w:pPr>
      <w:r w:rsidRPr="00AF7670">
        <w:rPr>
          <w:b/>
        </w:rPr>
        <w:t>Apresentação da 1ª versão – Relatório final da conferencia</w:t>
      </w:r>
    </w:p>
    <w:p w:rsidR="00C61E8C" w:rsidRDefault="00890949" w:rsidP="0003291F">
      <w:pPr>
        <w:spacing w:before="240"/>
        <w:jc w:val="both"/>
      </w:pPr>
      <w:r w:rsidRPr="00AF7670">
        <w:t>A</w:t>
      </w:r>
      <w:r w:rsidR="007A6056">
        <w:t xml:space="preserve">s consultoras Camila e Tatiana, apresentaram a </w:t>
      </w:r>
      <w:r w:rsidRPr="00AF7670">
        <w:t>1ª versão d</w:t>
      </w:r>
      <w:r w:rsidR="007A6056">
        <w:t xml:space="preserve">o relatório final da conferência. Foi apresentada a estrutura do documento, destacando </w:t>
      </w:r>
      <w:r w:rsidRPr="00AF7670">
        <w:t>a</w:t>
      </w:r>
      <w:r w:rsidR="007A6056">
        <w:t>s</w:t>
      </w:r>
      <w:r w:rsidRPr="00AF7670">
        <w:t xml:space="preserve"> diferencia</w:t>
      </w:r>
      <w:r w:rsidR="007A6056">
        <w:t>s</w:t>
      </w:r>
      <w:r w:rsidRPr="00AF7670">
        <w:t xml:space="preserve"> </w:t>
      </w:r>
      <w:r w:rsidR="007A6056">
        <w:t xml:space="preserve">que acompanharam </w:t>
      </w:r>
      <w:r w:rsidR="00DB3AC9">
        <w:t xml:space="preserve">a </w:t>
      </w:r>
      <w:r w:rsidRPr="00AF7670">
        <w:t xml:space="preserve">1ª e 2ª conferência </w:t>
      </w:r>
      <w:r w:rsidR="00DB3AC9">
        <w:t xml:space="preserve">(2013 e 2019) e os avanços significativos deste processo. </w:t>
      </w:r>
      <w:r w:rsidR="00C61E8C">
        <w:t xml:space="preserve">Apresentaram-se os detalhes das diferentes partes que compõem o documento. Este será enviado posteriormente ao Conselho para sugestões técnicas. </w:t>
      </w:r>
    </w:p>
    <w:p w:rsidR="00890949" w:rsidRPr="00AF7670" w:rsidRDefault="00C61E8C" w:rsidP="0003291F">
      <w:pPr>
        <w:spacing w:before="240"/>
        <w:jc w:val="both"/>
      </w:pPr>
      <w:r>
        <w:t xml:space="preserve">Não houve sugestões sobre </w:t>
      </w:r>
      <w:r w:rsidR="00DB3AC9">
        <w:t>o documento</w:t>
      </w:r>
      <w:r>
        <w:t xml:space="preserve">. </w:t>
      </w:r>
    </w:p>
    <w:p w:rsidR="00890949" w:rsidRPr="00AF7670" w:rsidRDefault="00890949" w:rsidP="00DB3AC9">
      <w:pPr>
        <w:jc w:val="both"/>
      </w:pPr>
    </w:p>
    <w:p w:rsidR="00890949" w:rsidRDefault="00301BA4" w:rsidP="00C61E8C">
      <w:pPr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Comissão Eleitoral para a </w:t>
      </w:r>
      <w:r w:rsidRPr="00AF7670">
        <w:rPr>
          <w:b/>
        </w:rPr>
        <w:t>Eleição</w:t>
      </w:r>
      <w:r>
        <w:rPr>
          <w:b/>
        </w:rPr>
        <w:t xml:space="preserve"> do CMI</w:t>
      </w:r>
    </w:p>
    <w:p w:rsidR="00C61E8C" w:rsidRPr="00AF7670" w:rsidRDefault="00C61E8C" w:rsidP="00C61E8C">
      <w:pPr>
        <w:ind w:left="720"/>
        <w:jc w:val="both"/>
        <w:rPr>
          <w:b/>
        </w:rPr>
      </w:pPr>
    </w:p>
    <w:p w:rsidR="00890949" w:rsidRPr="00AF7670" w:rsidRDefault="00890949" w:rsidP="00DB3AC9">
      <w:pPr>
        <w:jc w:val="both"/>
      </w:pPr>
      <w:r w:rsidRPr="00AF7670">
        <w:t xml:space="preserve">A </w:t>
      </w:r>
      <w:r w:rsidR="00DB3AC9" w:rsidRPr="00AF7670">
        <w:t>Sra.</w:t>
      </w:r>
      <w:r w:rsidRPr="00AF7670">
        <w:t xml:space="preserve"> Jennifer </w:t>
      </w:r>
      <w:r w:rsidR="00C61E8C">
        <w:t xml:space="preserve">informou que para as eleições do CMI, programadas para o mês de junho, será criada uma Comissão Eleitoral para o planejamento e execução. Indagou-se com o plenário sobre características para conformar a comissão e atribuições. A Sra. Jennifer reiterou  </w:t>
      </w:r>
      <w:r w:rsidRPr="00AF7670">
        <w:t xml:space="preserve">que quem fará parte da Comissão Eleitoral não </w:t>
      </w:r>
      <w:r w:rsidR="00C61E8C">
        <w:t xml:space="preserve">poderá se candidatar ao Conselho. </w:t>
      </w:r>
    </w:p>
    <w:p w:rsidR="00890949" w:rsidRPr="00AF7670" w:rsidRDefault="00890949" w:rsidP="00A816DD">
      <w:pPr>
        <w:ind w:left="720"/>
        <w:jc w:val="both"/>
      </w:pPr>
    </w:p>
    <w:p w:rsidR="00890949" w:rsidRPr="00AF7670" w:rsidRDefault="00890949" w:rsidP="00DB3AC9">
      <w:pPr>
        <w:jc w:val="both"/>
      </w:pPr>
      <w:r w:rsidRPr="00AF7670">
        <w:t>O Senhor Keder (Pessoa Física) disse que não ia se candidatar</w:t>
      </w:r>
      <w:r w:rsidR="00DB3AC9">
        <w:t xml:space="preserve"> como Conselheiro</w:t>
      </w:r>
      <w:r w:rsidR="00DB3AC9" w:rsidRPr="00AF7670">
        <w:t>, mas</w:t>
      </w:r>
      <w:r w:rsidR="00DB3AC9">
        <w:t xml:space="preserve"> gostaria participar da comissão. </w:t>
      </w:r>
    </w:p>
    <w:p w:rsidR="00890949" w:rsidRDefault="00890949" w:rsidP="0026022E">
      <w:pPr>
        <w:jc w:val="both"/>
      </w:pPr>
      <w:r w:rsidRPr="00AF7670">
        <w:t xml:space="preserve"> </w:t>
      </w:r>
    </w:p>
    <w:p w:rsidR="00DB3AC9" w:rsidRPr="00AF7670" w:rsidRDefault="00DB3AC9" w:rsidP="0026022E">
      <w:pPr>
        <w:jc w:val="both"/>
      </w:pPr>
      <w:r>
        <w:t xml:space="preserve">Foram levantadas algumas questões que deverão ser abordadas pela comissão: definição de prazos, datas e locais das eleições, acompanhar as votações, mobilização e divulgação, apuração de votos. </w:t>
      </w:r>
    </w:p>
    <w:p w:rsidR="00890949" w:rsidRPr="00AF7670" w:rsidRDefault="00890949" w:rsidP="00A816DD">
      <w:pPr>
        <w:ind w:left="720"/>
        <w:jc w:val="both"/>
      </w:pPr>
    </w:p>
    <w:p w:rsidR="00890949" w:rsidRDefault="00890949" w:rsidP="00DB3AC9">
      <w:pPr>
        <w:jc w:val="both"/>
      </w:pPr>
      <w:r w:rsidRPr="00AF7670">
        <w:t>O Sr</w:t>
      </w:r>
      <w:r w:rsidR="00DB3AC9">
        <w:t>.</w:t>
      </w:r>
      <w:r w:rsidRPr="00AF7670">
        <w:t xml:space="preserve"> Apolinário da organização OKOIER</w:t>
      </w:r>
      <w:r w:rsidR="00DB3AC9">
        <w:t xml:space="preserve">, indagou se poderiam pessoas da mesma organização participar da Comissão Eleitoral e outro represente se candidatar para o CMI. </w:t>
      </w:r>
      <w:r w:rsidRPr="00AF7670">
        <w:t xml:space="preserve"> </w:t>
      </w:r>
    </w:p>
    <w:p w:rsidR="00DB3AC9" w:rsidRDefault="00DB3AC9" w:rsidP="00DB3AC9">
      <w:pPr>
        <w:jc w:val="both"/>
      </w:pPr>
    </w:p>
    <w:p w:rsidR="00DB3AC9" w:rsidRDefault="00DB3AC9" w:rsidP="00DB3AC9">
      <w:pPr>
        <w:jc w:val="both"/>
      </w:pPr>
      <w:r>
        <w:t xml:space="preserve">Foi explicado que participar da Comissão impede a candidatura para evitar conflito de interesses. </w:t>
      </w:r>
    </w:p>
    <w:p w:rsidR="00DB3AC9" w:rsidRDefault="00DB3AC9" w:rsidP="00DB3AC9">
      <w:pPr>
        <w:jc w:val="both"/>
      </w:pPr>
    </w:p>
    <w:p w:rsidR="00890949" w:rsidRPr="00AF7670" w:rsidRDefault="00890949" w:rsidP="00DB3AC9">
      <w:pPr>
        <w:jc w:val="both"/>
      </w:pPr>
      <w:r w:rsidRPr="00AF7670">
        <w:t>O S</w:t>
      </w:r>
      <w:r w:rsidR="00DB3AC9">
        <w:t>r</w:t>
      </w:r>
      <w:r w:rsidR="00C61E8C">
        <w:t>.</w:t>
      </w:r>
      <w:r w:rsidRPr="00AF7670">
        <w:t xml:space="preserve"> Keder </w:t>
      </w:r>
      <w:r w:rsidR="00DB3AC9">
        <w:t>l</w:t>
      </w:r>
      <w:r w:rsidRPr="00AF7670">
        <w:t>evantou as dificuldades que encarou na sua experiência como candidato.</w:t>
      </w:r>
    </w:p>
    <w:p w:rsidR="00890949" w:rsidRPr="00AF7670" w:rsidRDefault="00890949" w:rsidP="00C4654B">
      <w:pPr>
        <w:ind w:left="720"/>
        <w:jc w:val="both"/>
      </w:pPr>
    </w:p>
    <w:p w:rsidR="00890949" w:rsidRPr="00AF7670" w:rsidRDefault="00890949" w:rsidP="00DB3AC9">
      <w:pPr>
        <w:jc w:val="both"/>
      </w:pPr>
      <w:r w:rsidRPr="00AF7670">
        <w:t xml:space="preserve">O senhor Apolinário </w:t>
      </w:r>
      <w:r w:rsidR="00DB3AC9">
        <w:t>indagou sobre as características da eleição, po</w:t>
      </w:r>
      <w:r w:rsidR="00C61E8C">
        <w:t>rém</w:t>
      </w:r>
      <w:r w:rsidR="00301BA4">
        <w:t>,</w:t>
      </w:r>
      <w:r w:rsidR="00C61E8C">
        <w:t xml:space="preserve"> foi respondido que isto é objeto da Comissão a ser conformada. </w:t>
      </w:r>
    </w:p>
    <w:p w:rsidR="00890949" w:rsidRDefault="00890949" w:rsidP="00C61E8C">
      <w:pPr>
        <w:jc w:val="both"/>
      </w:pPr>
    </w:p>
    <w:p w:rsidR="00C61E8C" w:rsidRDefault="00C61E8C" w:rsidP="00C61E8C">
      <w:pPr>
        <w:jc w:val="both"/>
      </w:pPr>
      <w:r>
        <w:t xml:space="preserve">Foram apresentadas as atribuições do edital utilizado para as eleições de 2018 e ficou como encaminhamento </w:t>
      </w:r>
      <w:r w:rsidR="00301BA4">
        <w:t>lançar uma convocatória pelas redes sociais para participar da Comissão.</w:t>
      </w:r>
    </w:p>
    <w:p w:rsidR="00301BA4" w:rsidRDefault="00301BA4" w:rsidP="00C61E8C">
      <w:pPr>
        <w:jc w:val="both"/>
      </w:pPr>
    </w:p>
    <w:p w:rsidR="00301BA4" w:rsidRDefault="00301BA4" w:rsidP="00C61E8C">
      <w:pPr>
        <w:jc w:val="both"/>
      </w:pPr>
      <w:r>
        <w:t xml:space="preserve">O plenário sugeriu que a Comissão tivesse até 10 pessoas, entre membros da Sociedade Civil, organizações locais e/ou internacionais e o poder público, e que contasse com vagas para suplentes se for o caso.  Também, que a convocatória nas redes fosse até 6ª feira, 14 de fevereiro. </w:t>
      </w:r>
    </w:p>
    <w:p w:rsidR="00C61E8C" w:rsidRDefault="00C61E8C" w:rsidP="00C61E8C">
      <w:pPr>
        <w:jc w:val="both"/>
      </w:pPr>
    </w:p>
    <w:p w:rsidR="00301BA4" w:rsidRDefault="00301BA4" w:rsidP="00C61E8C">
      <w:pPr>
        <w:jc w:val="both"/>
      </w:pPr>
      <w:r>
        <w:t xml:space="preserve">A Elissa Fortunato (Bibliaspa) manifestou interesse. </w:t>
      </w:r>
    </w:p>
    <w:p w:rsidR="00301BA4" w:rsidRPr="00AF7670" w:rsidRDefault="00301BA4" w:rsidP="00C61E8C">
      <w:pPr>
        <w:jc w:val="both"/>
      </w:pPr>
    </w:p>
    <w:p w:rsidR="00890949" w:rsidRPr="00AF7670" w:rsidRDefault="00890949" w:rsidP="00301BA4">
      <w:pPr>
        <w:numPr>
          <w:ilvl w:val="0"/>
          <w:numId w:val="21"/>
        </w:numPr>
        <w:jc w:val="both"/>
        <w:rPr>
          <w:b/>
        </w:rPr>
      </w:pPr>
      <w:r w:rsidRPr="00AF7670">
        <w:rPr>
          <w:b/>
        </w:rPr>
        <w:t>Cronograma 2020:</w:t>
      </w:r>
    </w:p>
    <w:p w:rsidR="00890949" w:rsidRPr="00AF7670" w:rsidRDefault="00890949">
      <w:pPr>
        <w:jc w:val="both"/>
      </w:pPr>
      <w:r w:rsidRPr="00AF7670">
        <w:t>A Sra Jennifer apresentou a proposta do planejamento anual aos membros do conselho mencionando os eventos mais importantes que deverá acontecer.</w:t>
      </w:r>
    </w:p>
    <w:p w:rsidR="00890949" w:rsidRPr="00AF7670" w:rsidRDefault="00890949">
      <w:pPr>
        <w:jc w:val="both"/>
        <w:rPr>
          <w:b/>
        </w:rPr>
      </w:pPr>
    </w:p>
    <w:p w:rsidR="00890949" w:rsidRDefault="00890949" w:rsidP="00301BA4">
      <w:pPr>
        <w:numPr>
          <w:ilvl w:val="0"/>
          <w:numId w:val="21"/>
        </w:numPr>
        <w:jc w:val="both"/>
        <w:rPr>
          <w:b/>
        </w:rPr>
      </w:pPr>
      <w:r w:rsidRPr="00AF7670">
        <w:rPr>
          <w:b/>
        </w:rPr>
        <w:t>Criação de Grupo de Trabalho</w:t>
      </w:r>
      <w:r w:rsidR="00676C78">
        <w:rPr>
          <w:b/>
        </w:rPr>
        <w:t xml:space="preserve">: </w:t>
      </w:r>
    </w:p>
    <w:p w:rsidR="00676C78" w:rsidRDefault="00676C78" w:rsidP="00676C78">
      <w:pPr>
        <w:jc w:val="both"/>
        <w:rPr>
          <w:b/>
        </w:rPr>
      </w:pPr>
    </w:p>
    <w:p w:rsidR="00890949" w:rsidRDefault="00890949">
      <w:pPr>
        <w:jc w:val="both"/>
      </w:pPr>
      <w:r w:rsidRPr="00AF7670">
        <w:t>A Sra Je</w:t>
      </w:r>
      <w:r w:rsidR="00676C78">
        <w:t>nnifer apresentou a proposta sobre os Grupos de T</w:t>
      </w:r>
      <w:r w:rsidRPr="00AF7670">
        <w:t xml:space="preserve">rabalho, convidando a cada um (conselheiros) escolher o GT do seu interesse. </w:t>
      </w:r>
      <w:r w:rsidR="00567EF9">
        <w:t>Re</w:t>
      </w:r>
      <w:r w:rsidR="00676C78">
        <w:t>forçou o caráter de cada grupo:</w:t>
      </w:r>
    </w:p>
    <w:p w:rsidR="00676C78" w:rsidRDefault="00676C78">
      <w:pPr>
        <w:jc w:val="both"/>
      </w:pPr>
    </w:p>
    <w:p w:rsidR="00676C78" w:rsidRDefault="00676C78" w:rsidP="00567EF9">
      <w:pPr>
        <w:numPr>
          <w:ilvl w:val="0"/>
          <w:numId w:val="21"/>
        </w:numPr>
        <w:jc w:val="both"/>
      </w:pPr>
      <w:r w:rsidRPr="00567EF9">
        <w:t xml:space="preserve">Grupo de </w:t>
      </w:r>
      <w:r w:rsidR="00567EF9" w:rsidRPr="00567EF9">
        <w:t xml:space="preserve">e Trabalho – </w:t>
      </w:r>
      <w:r w:rsidR="00567EF9" w:rsidRPr="00567EF9">
        <w:rPr>
          <w:bCs/>
        </w:rPr>
        <w:t>Estratégias para Acolhimento e Integração da População Imigrante</w:t>
      </w:r>
      <w:r w:rsidR="00567EF9" w:rsidRPr="00567EF9">
        <w:t xml:space="preserve"> ou de Integração Local</w:t>
      </w:r>
      <w:r w:rsidR="00567EF9" w:rsidRPr="00567EF9">
        <w:rPr>
          <w:b/>
        </w:rPr>
        <w:t xml:space="preserve"> </w:t>
      </w:r>
      <w:r w:rsidR="00567EF9">
        <w:t>(</w:t>
      </w:r>
      <w:r w:rsidR="00567EF9" w:rsidRPr="00567EF9">
        <w:rPr>
          <w:i/>
        </w:rPr>
        <w:t>nome a definir</w:t>
      </w:r>
      <w:r w:rsidR="00567EF9">
        <w:t>)</w:t>
      </w:r>
      <w:r w:rsidR="00567EF9" w:rsidRPr="00567EF9">
        <w:t>, responsável por elaborar mecanismo</w:t>
      </w:r>
      <w:r w:rsidR="00567EF9">
        <w:t xml:space="preserve">s de ação interinstitucional para </w:t>
      </w:r>
      <w:r w:rsidR="00567EF9" w:rsidRPr="00567EF9">
        <w:t xml:space="preserve">monitorar chegadas espontâneas ou em caráter de imigrantes em </w:t>
      </w:r>
      <w:r w:rsidR="00567EF9">
        <w:t>situação</w:t>
      </w:r>
      <w:r w:rsidR="00567EF9" w:rsidRPr="00567EF9">
        <w:t xml:space="preserve"> emergencial de imigrantes na cidade de São Paulo</w:t>
      </w:r>
      <w:r w:rsidR="00567EF9">
        <w:t>, bem como</w:t>
      </w:r>
      <w:r w:rsidR="00567EF9" w:rsidRPr="00567EF9">
        <w:t xml:space="preserve"> definir estratégias de trabalho coordenado para recepção destes fluxos de imigrantes</w:t>
      </w:r>
      <w:r w:rsidR="00567EF9">
        <w:t>;</w:t>
      </w:r>
    </w:p>
    <w:p w:rsidR="00567EF9" w:rsidRDefault="00567EF9" w:rsidP="00567EF9">
      <w:pPr>
        <w:numPr>
          <w:ilvl w:val="0"/>
          <w:numId w:val="21"/>
        </w:numPr>
        <w:jc w:val="both"/>
      </w:pPr>
      <w:r w:rsidRPr="00567EF9">
        <w:t>Grupo d</w:t>
      </w:r>
      <w:r>
        <w:t>e Trabalho – Regimento Interno: responsável pe</w:t>
      </w:r>
      <w:r w:rsidRPr="00567EF9">
        <w:t xml:space="preserve">la revisão do documento que institui as regras internas </w:t>
      </w:r>
      <w:r>
        <w:t>e pela</w:t>
      </w:r>
      <w:r w:rsidRPr="00567EF9">
        <w:t xml:space="preserve"> elabo</w:t>
      </w:r>
      <w:r>
        <w:t xml:space="preserve">ração das novas tarefas do CMI; </w:t>
      </w:r>
    </w:p>
    <w:p w:rsidR="00567EF9" w:rsidRDefault="00567EF9" w:rsidP="00567EF9">
      <w:pPr>
        <w:numPr>
          <w:ilvl w:val="0"/>
          <w:numId w:val="21"/>
        </w:numPr>
        <w:jc w:val="both"/>
      </w:pPr>
      <w:r w:rsidRPr="00567EF9">
        <w:t>Grupo de Trabalho – Plano Municipal</w:t>
      </w:r>
      <w:r>
        <w:t xml:space="preserve">: </w:t>
      </w:r>
      <w:r w:rsidRPr="00567EF9">
        <w:t xml:space="preserve">responsável </w:t>
      </w:r>
      <w:r>
        <w:t>de</w:t>
      </w:r>
      <w:r w:rsidRPr="00567EF9">
        <w:t xml:space="preserve"> elaborar</w:t>
      </w:r>
      <w:r>
        <w:t>,</w:t>
      </w:r>
      <w:r w:rsidRPr="00567EF9">
        <w:t xml:space="preserve"> monitorar e dar subsídios participativos e técnicos para a construção</w:t>
      </w:r>
      <w:r>
        <w:t xml:space="preserve"> do</w:t>
      </w:r>
      <w:r w:rsidRPr="00567EF9">
        <w:t xml:space="preserve"> Plano</w:t>
      </w:r>
      <w:r>
        <w:t xml:space="preserve"> Municipal</w:t>
      </w:r>
      <w:r w:rsidRPr="00567EF9">
        <w:t>;</w:t>
      </w:r>
    </w:p>
    <w:p w:rsidR="00567EF9" w:rsidRPr="00AF7670" w:rsidRDefault="00567EF9">
      <w:pPr>
        <w:jc w:val="both"/>
      </w:pPr>
    </w:p>
    <w:p w:rsidR="00D66EC2" w:rsidRDefault="00D66EC2" w:rsidP="007C63CA">
      <w:pPr>
        <w:jc w:val="both"/>
      </w:pPr>
      <w:r>
        <w:t>Ficou como encaminhamento, o envio das minutas das resoluções para formalizar os grupos de trabalho.</w:t>
      </w:r>
    </w:p>
    <w:p w:rsidR="00D66EC2" w:rsidRDefault="00D66EC2" w:rsidP="007C63CA">
      <w:pPr>
        <w:jc w:val="both"/>
      </w:pPr>
    </w:p>
    <w:p w:rsidR="00890949" w:rsidRPr="00AF7670" w:rsidRDefault="00890949" w:rsidP="007C63CA">
      <w:pPr>
        <w:jc w:val="both"/>
      </w:pPr>
      <w:r w:rsidRPr="00AF7670">
        <w:t>O senhor Apolinário levantou e perguntou: quant</w:t>
      </w:r>
      <w:r w:rsidR="00567EF9">
        <w:t xml:space="preserve">as pessoas farão parte de cada GT. Ao que foi respondido que, conforme o regimento interno, </w:t>
      </w:r>
      <w:r w:rsidRPr="00AF7670">
        <w:t xml:space="preserve">cada grupo deve ter no mínimo 3 (três) </w:t>
      </w:r>
      <w:r w:rsidR="00567EF9">
        <w:t xml:space="preserve">conselheiros. </w:t>
      </w:r>
    </w:p>
    <w:p w:rsidR="00890949" w:rsidRPr="00AF7670" w:rsidRDefault="00890949" w:rsidP="007C63CA">
      <w:pPr>
        <w:jc w:val="both"/>
      </w:pPr>
    </w:p>
    <w:p w:rsidR="00890949" w:rsidRDefault="00890949">
      <w:pPr>
        <w:jc w:val="both"/>
      </w:pPr>
      <w:r w:rsidRPr="00AF7670">
        <w:t xml:space="preserve">A Organização Internacional para Migrações OIM, SMS e DPU mostrou interesse no GT </w:t>
      </w:r>
      <w:r w:rsidR="00567EF9">
        <w:t xml:space="preserve">de Integração Local; </w:t>
      </w:r>
      <w:r w:rsidRPr="00AF7670">
        <w:t>O s</w:t>
      </w:r>
      <w:r w:rsidR="00567EF9">
        <w:t>r</w:t>
      </w:r>
      <w:r w:rsidRPr="00AF7670">
        <w:t xml:space="preserve"> Keder </w:t>
      </w:r>
      <w:r w:rsidR="00567EF9" w:rsidRPr="00AF7670">
        <w:t xml:space="preserve">mostrou interesse </w:t>
      </w:r>
      <w:r w:rsidR="00567EF9">
        <w:t>no GT R</w:t>
      </w:r>
      <w:r w:rsidRPr="00AF7670">
        <w:t>egimento</w:t>
      </w:r>
      <w:r w:rsidR="00567EF9">
        <w:t xml:space="preserve">; </w:t>
      </w:r>
      <w:r w:rsidRPr="00AF7670">
        <w:t xml:space="preserve"> </w:t>
      </w:r>
    </w:p>
    <w:p w:rsidR="00D66EC2" w:rsidRDefault="00D66EC2">
      <w:pPr>
        <w:jc w:val="both"/>
      </w:pPr>
    </w:p>
    <w:p w:rsidR="00D66EC2" w:rsidRPr="00AF7670" w:rsidRDefault="00D66EC2">
      <w:pPr>
        <w:jc w:val="both"/>
      </w:pPr>
      <w:r>
        <w:t xml:space="preserve">A Sra. Sylvia (SMC) indicou dificuldades na agenda para participar dos grupos de trabalho. </w:t>
      </w:r>
    </w:p>
    <w:p w:rsidR="00890949" w:rsidRPr="00AF7670" w:rsidRDefault="00890949">
      <w:pPr>
        <w:jc w:val="both"/>
      </w:pPr>
    </w:p>
    <w:p w:rsidR="00890949" w:rsidRDefault="00890949">
      <w:pPr>
        <w:jc w:val="both"/>
      </w:pPr>
      <w:r w:rsidRPr="00AF7670">
        <w:t xml:space="preserve">A Senhora Jennifer </w:t>
      </w:r>
      <w:r w:rsidR="00567EF9">
        <w:t>também informou sobre C</w:t>
      </w:r>
      <w:r w:rsidRPr="00AF7670">
        <w:t>ampanha</w:t>
      </w:r>
      <w:r w:rsidR="00567EF9">
        <w:t xml:space="preserve"> “Soy Imigrante, Tengo Derechos! </w:t>
      </w:r>
      <w:r w:rsidR="004C7D6A">
        <w:t xml:space="preserve">Da OIT com apoio da OIM, a COMTRAE e outras organizações; Também informou e distribuiu material sobre as eleições do Comité PopRua. </w:t>
      </w:r>
      <w:r w:rsidRPr="00AF7670">
        <w:t xml:space="preserve"> </w:t>
      </w:r>
    </w:p>
    <w:p w:rsidR="00567EF9" w:rsidRDefault="00567EF9">
      <w:pPr>
        <w:jc w:val="both"/>
      </w:pPr>
    </w:p>
    <w:p w:rsidR="00890949" w:rsidRDefault="00890949" w:rsidP="004C7D6A">
      <w:pPr>
        <w:jc w:val="both"/>
      </w:pPr>
      <w:r w:rsidRPr="00AF7670">
        <w:t xml:space="preserve">A Senhora Ana apresentou </w:t>
      </w:r>
      <w:r w:rsidR="004C7D6A">
        <w:t>a proposta da oficina de Contação de História realizada pela Jar</w:t>
      </w:r>
      <w:r w:rsidRPr="00AF7670">
        <w:t xml:space="preserve">ina filmes que </w:t>
      </w:r>
      <w:r w:rsidR="004C7D6A">
        <w:t>irá acontecer os dias</w:t>
      </w:r>
      <w:r w:rsidRPr="00AF7670">
        <w:t xml:space="preserve"> 6 e 7</w:t>
      </w:r>
      <w:r w:rsidR="004C7D6A">
        <w:t xml:space="preserve">, </w:t>
      </w:r>
      <w:r w:rsidRPr="00AF7670">
        <w:t xml:space="preserve">no 26º andar do edifício Martinelli </w:t>
      </w:r>
      <w:r w:rsidR="004C7D6A">
        <w:t xml:space="preserve">reforçou que a oficina é voltada para os membros do CMI que poderão indicar pessoas imigrantes para participar. </w:t>
      </w:r>
    </w:p>
    <w:p w:rsidR="004C7D6A" w:rsidRDefault="004C7D6A" w:rsidP="004C7D6A">
      <w:pPr>
        <w:jc w:val="both"/>
      </w:pPr>
    </w:p>
    <w:p w:rsidR="004C7D6A" w:rsidRPr="00AF7670" w:rsidRDefault="004C7D6A" w:rsidP="004C7D6A">
      <w:pPr>
        <w:jc w:val="both"/>
      </w:pPr>
      <w:r>
        <w:t>A Sra. Jennifer</w:t>
      </w:r>
      <w:r w:rsidR="00C95CB7">
        <w:t xml:space="preserve"> deu</w:t>
      </w:r>
      <w:r>
        <w:t xml:space="preserve"> por encerrada </w:t>
      </w:r>
      <w:bookmarkStart w:id="1" w:name="_GoBack"/>
      <w:bookmarkEnd w:id="1"/>
      <w:r>
        <w:t xml:space="preserve">a reunião. </w:t>
      </w:r>
    </w:p>
    <w:sectPr w:rsidR="004C7D6A" w:rsidRPr="00AF7670" w:rsidSect="00B97D52">
      <w:headerReference w:type="default" r:id="rId9"/>
      <w:footerReference w:type="default" r:id="rId10"/>
      <w:pgSz w:w="12240" w:h="15840"/>
      <w:pgMar w:top="3235" w:right="1701" w:bottom="141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49" w:rsidRDefault="00890949">
      <w:r>
        <w:separator/>
      </w:r>
    </w:p>
  </w:endnote>
  <w:endnote w:type="continuationSeparator" w:id="0">
    <w:p w:rsidR="00890949" w:rsidRDefault="0089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49" w:rsidRDefault="00890949">
    <w:pPr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>Secretaria Municipal de Direitos Humanos e Cidadania</w:t>
    </w:r>
  </w:p>
  <w:p w:rsidR="00890949" w:rsidRDefault="00890949">
    <w:pPr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>Rua Líbero Badaró, 119 – 7º andar – Centro - 01009-000 – São Paulo/SP | 55.11.3113.9644</w:t>
    </w:r>
  </w:p>
  <w:p w:rsidR="00890949" w:rsidRDefault="00890949">
    <w:pPr>
      <w:tabs>
        <w:tab w:val="center" w:pos="4252"/>
        <w:tab w:val="right" w:pos="8504"/>
      </w:tabs>
      <w:rPr>
        <w:rFonts w:ascii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49" w:rsidRDefault="00890949">
      <w:r>
        <w:separator/>
      </w:r>
    </w:p>
  </w:footnote>
  <w:footnote w:type="continuationSeparator" w:id="0">
    <w:p w:rsidR="00890949" w:rsidRDefault="0089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49" w:rsidRDefault="00C95CB7">
    <w:pPr>
      <w:tabs>
        <w:tab w:val="center" w:pos="4252"/>
        <w:tab w:val="right" w:pos="8504"/>
      </w:tabs>
      <w:jc w:val="center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noProof/>
        <w:color w:val="000000"/>
        <w:sz w:val="22"/>
        <w:szCs w:val="22"/>
      </w:rPr>
      <w:drawing>
        <wp:inline distT="0" distB="0" distL="0" distR="0">
          <wp:extent cx="864870" cy="118300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949" w:rsidRDefault="00890949">
    <w:pPr>
      <w:tabs>
        <w:tab w:val="center" w:pos="4252"/>
        <w:tab w:val="right" w:pos="8504"/>
      </w:tabs>
      <w:jc w:val="center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color w:val="000000"/>
        <w:sz w:val="22"/>
        <w:szCs w:val="22"/>
      </w:rPr>
      <w:t>Coordenação de Políticas para Imigrantes e Promoção do Trabalho Decente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F8B"/>
    <w:multiLevelType w:val="multilevel"/>
    <w:tmpl w:val="48AC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96DBC"/>
    <w:multiLevelType w:val="multilevel"/>
    <w:tmpl w:val="208E4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B114AA7"/>
    <w:multiLevelType w:val="multilevel"/>
    <w:tmpl w:val="6344A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D1D5524"/>
    <w:multiLevelType w:val="multilevel"/>
    <w:tmpl w:val="1192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C32BC"/>
    <w:multiLevelType w:val="multilevel"/>
    <w:tmpl w:val="4A04D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03E5ADF"/>
    <w:multiLevelType w:val="multilevel"/>
    <w:tmpl w:val="C7FA7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27C57D0"/>
    <w:multiLevelType w:val="multilevel"/>
    <w:tmpl w:val="10282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1110404"/>
    <w:multiLevelType w:val="hybridMultilevel"/>
    <w:tmpl w:val="59C8EB4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B30A6"/>
    <w:multiLevelType w:val="multilevel"/>
    <w:tmpl w:val="3082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D33B7"/>
    <w:multiLevelType w:val="multilevel"/>
    <w:tmpl w:val="82D83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17A1B0E"/>
    <w:multiLevelType w:val="hybridMultilevel"/>
    <w:tmpl w:val="DC58A1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175A"/>
    <w:multiLevelType w:val="hybridMultilevel"/>
    <w:tmpl w:val="0E5C4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43028"/>
    <w:multiLevelType w:val="multilevel"/>
    <w:tmpl w:val="7B4C9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8D28B6"/>
    <w:multiLevelType w:val="multilevel"/>
    <w:tmpl w:val="2DF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B44E5"/>
    <w:multiLevelType w:val="multilevel"/>
    <w:tmpl w:val="6C14A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5">
    <w:nsid w:val="578E219C"/>
    <w:multiLevelType w:val="hybridMultilevel"/>
    <w:tmpl w:val="40E01B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393B21"/>
    <w:multiLevelType w:val="multilevel"/>
    <w:tmpl w:val="46F82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05F5B57"/>
    <w:multiLevelType w:val="multilevel"/>
    <w:tmpl w:val="B016E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6BB71F6"/>
    <w:multiLevelType w:val="multilevel"/>
    <w:tmpl w:val="92FC6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71F6EB7"/>
    <w:multiLevelType w:val="multilevel"/>
    <w:tmpl w:val="466A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2F2D5C"/>
    <w:multiLevelType w:val="multilevel"/>
    <w:tmpl w:val="BA969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4942610"/>
    <w:multiLevelType w:val="multilevel"/>
    <w:tmpl w:val="F0E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570ABD"/>
    <w:multiLevelType w:val="multilevel"/>
    <w:tmpl w:val="48A2E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7"/>
  </w:num>
  <w:num w:numId="5">
    <w:abstractNumId w:val="6"/>
  </w:num>
  <w:num w:numId="6">
    <w:abstractNumId w:val="4"/>
  </w:num>
  <w:num w:numId="7">
    <w:abstractNumId w:val="20"/>
  </w:num>
  <w:num w:numId="8">
    <w:abstractNumId w:val="5"/>
  </w:num>
  <w:num w:numId="9">
    <w:abstractNumId w:val="1"/>
  </w:num>
  <w:num w:numId="10">
    <w:abstractNumId w:val="18"/>
  </w:num>
  <w:num w:numId="11">
    <w:abstractNumId w:val="14"/>
  </w:num>
  <w:num w:numId="12">
    <w:abstractNumId w:val="12"/>
  </w:num>
  <w:num w:numId="13">
    <w:abstractNumId w:val="22"/>
  </w:num>
  <w:num w:numId="14">
    <w:abstractNumId w:val="15"/>
  </w:num>
  <w:num w:numId="15">
    <w:abstractNumId w:val="0"/>
  </w:num>
  <w:num w:numId="16">
    <w:abstractNumId w:val="21"/>
  </w:num>
  <w:num w:numId="17">
    <w:abstractNumId w:val="8"/>
  </w:num>
  <w:num w:numId="18">
    <w:abstractNumId w:val="19"/>
  </w:num>
  <w:num w:numId="19">
    <w:abstractNumId w:val="13"/>
  </w:num>
  <w:num w:numId="20">
    <w:abstractNumId w:val="3"/>
  </w:num>
  <w:num w:numId="21">
    <w:abstractNumId w:val="7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54"/>
    <w:rsid w:val="00013059"/>
    <w:rsid w:val="00020A42"/>
    <w:rsid w:val="00031014"/>
    <w:rsid w:val="0003291F"/>
    <w:rsid w:val="001047BD"/>
    <w:rsid w:val="00155F98"/>
    <w:rsid w:val="00171887"/>
    <w:rsid w:val="00224D54"/>
    <w:rsid w:val="002278E3"/>
    <w:rsid w:val="0026022E"/>
    <w:rsid w:val="00286388"/>
    <w:rsid w:val="00301BA4"/>
    <w:rsid w:val="003D6431"/>
    <w:rsid w:val="00413D0C"/>
    <w:rsid w:val="00481645"/>
    <w:rsid w:val="004A5EAB"/>
    <w:rsid w:val="004C7D6A"/>
    <w:rsid w:val="004D2AF0"/>
    <w:rsid w:val="00567EF9"/>
    <w:rsid w:val="00585F7E"/>
    <w:rsid w:val="00595744"/>
    <w:rsid w:val="005E489A"/>
    <w:rsid w:val="006134E8"/>
    <w:rsid w:val="00676C78"/>
    <w:rsid w:val="006C1649"/>
    <w:rsid w:val="00713DDB"/>
    <w:rsid w:val="007223D9"/>
    <w:rsid w:val="00723E4C"/>
    <w:rsid w:val="007A6056"/>
    <w:rsid w:val="007C63CA"/>
    <w:rsid w:val="007C68F9"/>
    <w:rsid w:val="008118FF"/>
    <w:rsid w:val="00873FA1"/>
    <w:rsid w:val="008827D2"/>
    <w:rsid w:val="00890949"/>
    <w:rsid w:val="008B6339"/>
    <w:rsid w:val="00905206"/>
    <w:rsid w:val="00914CE5"/>
    <w:rsid w:val="00952D3B"/>
    <w:rsid w:val="009C0F0A"/>
    <w:rsid w:val="009C11DE"/>
    <w:rsid w:val="009F7134"/>
    <w:rsid w:val="00A42E99"/>
    <w:rsid w:val="00A762B7"/>
    <w:rsid w:val="00A816DD"/>
    <w:rsid w:val="00AB360D"/>
    <w:rsid w:val="00AF7670"/>
    <w:rsid w:val="00B66CE5"/>
    <w:rsid w:val="00B97D52"/>
    <w:rsid w:val="00C17FD2"/>
    <w:rsid w:val="00C213A9"/>
    <w:rsid w:val="00C4654B"/>
    <w:rsid w:val="00C61E8C"/>
    <w:rsid w:val="00C95CB7"/>
    <w:rsid w:val="00CD1AA5"/>
    <w:rsid w:val="00CF1875"/>
    <w:rsid w:val="00D4112C"/>
    <w:rsid w:val="00D66EC2"/>
    <w:rsid w:val="00DB2700"/>
    <w:rsid w:val="00DB3AC9"/>
    <w:rsid w:val="00DE3C5B"/>
    <w:rsid w:val="00DE68BB"/>
    <w:rsid w:val="00E27AB6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AB"/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4A5EA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4A5EA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4A5EA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4A5EAB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link w:val="Ttulo5Char"/>
    <w:uiPriority w:val="99"/>
    <w:qFormat/>
    <w:rsid w:val="004A5EAB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4A5EA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A5E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A5E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4A5EAB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4A5EAB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4A5E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4A5EAB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B97D52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4A5EA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4A5EA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4A5EAB"/>
    <w:rPr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qFormat/>
    <w:rsid w:val="00B97D5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4A5EAB"/>
    <w:rPr>
      <w:rFonts w:ascii="Cambria" w:hAnsi="Cambria" w:cs="Times New Roman"/>
      <w:sz w:val="24"/>
      <w:szCs w:val="24"/>
    </w:rPr>
  </w:style>
  <w:style w:type="paragraph" w:customStyle="1" w:styleId="EstilodeTabela1">
    <w:name w:val="Estilo de Tabela 1"/>
    <w:uiPriority w:val="99"/>
    <w:rsid w:val="004A5E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</w:rPr>
  </w:style>
  <w:style w:type="paragraph" w:customStyle="1" w:styleId="EstilodeTabela2">
    <w:name w:val="Estilo de Tabela 2"/>
    <w:uiPriority w:val="99"/>
    <w:rsid w:val="004A5E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4A5EAB"/>
    <w:pPr>
      <w:ind w:left="720"/>
      <w:contextualSpacing/>
    </w:pPr>
    <w:rPr>
      <w:rFonts w:ascii="Calibri" w:hAnsi="Calibri"/>
      <w:lang w:eastAsia="en-US"/>
    </w:rPr>
  </w:style>
  <w:style w:type="character" w:styleId="Hyperlink">
    <w:name w:val="Hyperlink"/>
    <w:basedOn w:val="Fontepargpadro"/>
    <w:uiPriority w:val="99"/>
    <w:rsid w:val="004A5EAB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A5E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A5EAB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4A5E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A5EAB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4A5E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A5EA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4A5EAB"/>
    <w:pPr>
      <w:ind w:left="720"/>
    </w:pPr>
    <w:rPr>
      <w:rFonts w:ascii="Calibri" w:hAnsi="Calibri"/>
      <w:sz w:val="22"/>
      <w:szCs w:val="22"/>
      <w:lang w:eastAsia="en-US"/>
    </w:rPr>
  </w:style>
  <w:style w:type="table" w:customStyle="1" w:styleId="Estilo">
    <w:name w:val="Estilo"/>
    <w:basedOn w:val="TableNormal1"/>
    <w:uiPriority w:val="99"/>
    <w:rsid w:val="00B97D5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">
    <w:name w:val="Estilo1"/>
    <w:basedOn w:val="TableNormal1"/>
    <w:uiPriority w:val="99"/>
    <w:rsid w:val="00B97D5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03291F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AF76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76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76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76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76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AB"/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4A5EA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4A5EA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4A5EA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4A5EAB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link w:val="Ttulo5Char"/>
    <w:uiPriority w:val="99"/>
    <w:qFormat/>
    <w:rsid w:val="004A5EAB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4A5EA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A5E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A5E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4A5EAB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4A5EAB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4A5E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4A5EAB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B97D52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4A5EA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4A5EA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4A5EAB"/>
    <w:rPr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qFormat/>
    <w:rsid w:val="00B97D5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4A5EAB"/>
    <w:rPr>
      <w:rFonts w:ascii="Cambria" w:hAnsi="Cambria" w:cs="Times New Roman"/>
      <w:sz w:val="24"/>
      <w:szCs w:val="24"/>
    </w:rPr>
  </w:style>
  <w:style w:type="paragraph" w:customStyle="1" w:styleId="EstilodeTabela1">
    <w:name w:val="Estilo de Tabela 1"/>
    <w:uiPriority w:val="99"/>
    <w:rsid w:val="004A5E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</w:rPr>
  </w:style>
  <w:style w:type="paragraph" w:customStyle="1" w:styleId="EstilodeTabela2">
    <w:name w:val="Estilo de Tabela 2"/>
    <w:uiPriority w:val="99"/>
    <w:rsid w:val="004A5E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4A5EAB"/>
    <w:pPr>
      <w:ind w:left="720"/>
      <w:contextualSpacing/>
    </w:pPr>
    <w:rPr>
      <w:rFonts w:ascii="Calibri" w:hAnsi="Calibri"/>
      <w:lang w:eastAsia="en-US"/>
    </w:rPr>
  </w:style>
  <w:style w:type="character" w:styleId="Hyperlink">
    <w:name w:val="Hyperlink"/>
    <w:basedOn w:val="Fontepargpadro"/>
    <w:uiPriority w:val="99"/>
    <w:rsid w:val="004A5EAB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A5E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A5EAB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4A5E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A5EAB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4A5E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A5EA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4A5EAB"/>
    <w:pPr>
      <w:ind w:left="720"/>
    </w:pPr>
    <w:rPr>
      <w:rFonts w:ascii="Calibri" w:hAnsi="Calibri"/>
      <w:sz w:val="22"/>
      <w:szCs w:val="22"/>
      <w:lang w:eastAsia="en-US"/>
    </w:rPr>
  </w:style>
  <w:style w:type="table" w:customStyle="1" w:styleId="Estilo">
    <w:name w:val="Estilo"/>
    <w:basedOn w:val="TableNormal1"/>
    <w:uiPriority w:val="99"/>
    <w:rsid w:val="00B97D5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">
    <w:name w:val="Estilo1"/>
    <w:basedOn w:val="TableNormal1"/>
    <w:uiPriority w:val="99"/>
    <w:rsid w:val="00B97D5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03291F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AF76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76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76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76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76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E5B8-EB36-4AAE-A7D4-90542967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Imigrantes</vt:lpstr>
    </vt:vector>
  </TitlesOfParts>
  <Company>Microsoft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Imigrantes</dc:title>
  <dc:creator>8563501</dc:creator>
  <cp:lastModifiedBy>8563501</cp:lastModifiedBy>
  <cp:revision>2</cp:revision>
  <dcterms:created xsi:type="dcterms:W3CDTF">2020-02-12T22:08:00Z</dcterms:created>
  <dcterms:modified xsi:type="dcterms:W3CDTF">2020-02-12T22:08:00Z</dcterms:modified>
</cp:coreProperties>
</file>