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Calibri" w:hAnsi="Calibri" w:eastAsia="Calibri" w:cs="Calibri"/>
          <w:b/>
          <w:b/>
          <w:smallCaps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</w:r>
    </w:p>
    <w:p>
      <w:pPr>
        <w:pStyle w:val="LOnormal"/>
        <w:jc w:val="center"/>
        <w:rPr/>
      </w:pPr>
      <w:r>
        <w:rPr>
          <w:rStyle w:val="Fontepargpadro"/>
          <w:rFonts w:eastAsia="Calibri" w:cs="Calibri" w:ascii="Calibri" w:hAnsi="Calibri"/>
          <w:b/>
          <w:smallCaps/>
          <w:sz w:val="22"/>
          <w:szCs w:val="22"/>
        </w:rPr>
        <w:t>CONVOCAÇÃO PARA A 807ª REUNIÃO ORDINÁRIA</w:t>
      </w:r>
    </w:p>
    <w:p>
      <w:pPr>
        <w:pStyle w:val="LOnormal"/>
        <w:jc w:val="center"/>
        <w:rPr/>
      </w:pPr>
      <w:r>
        <w:rPr>
          <w:rStyle w:val="Fontepargpadro"/>
          <w:rFonts w:eastAsia="Calibri" w:cs="Calibri" w:ascii="Calibri" w:hAnsi="Calibri"/>
          <w:b/>
          <w:sz w:val="22"/>
          <w:szCs w:val="22"/>
        </w:rPr>
        <w:t>Data: 30/09/2024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Local: SMC/CONPRESP – Rua Líbero Badaró 346/350 – 11º andar</w:t>
      </w:r>
    </w:p>
    <w:p>
      <w:pPr>
        <w:pStyle w:val="LOnormal"/>
        <w:jc w:val="center"/>
        <w:rPr/>
      </w:pPr>
      <w:r>
        <w:rPr>
          <w:rStyle w:val="Fontepargpadro"/>
          <w:rFonts w:eastAsia="Calibri" w:cs="Calibri" w:ascii="Calibri" w:hAnsi="Calibri"/>
          <w:b/>
          <w:sz w:val="22"/>
          <w:szCs w:val="22"/>
          <w:shd w:fill="FFFFFF" w:val="clear"/>
        </w:rPr>
        <w:t>A reunião também poderá ser acompanhada pelo YouTube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shd w:fill="FFFF00" w:val="clear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FFFF00" w:val="clear"/>
        </w:rPr>
      </w:r>
    </w:p>
    <w:p>
      <w:pPr>
        <w:pStyle w:val="LOnormal"/>
        <w:spacing w:before="120" w:after="120"/>
        <w:jc w:val="both"/>
        <w:rPr/>
      </w:pPr>
      <w:r>
        <w:rPr>
          <w:rStyle w:val="Fontepargpadro"/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Style w:val="Fontepargpadro"/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 w:tgtFrame="_top">
        <w:r>
          <w:rPr>
            <w:rStyle w:val="LinkdaInternet"/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Style w:val="Fontepargpadro"/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Style w:val="Fontepargpadro"/>
          <w:rFonts w:eastAsia="Calibri" w:cs="Calibri" w:ascii="Calibri" w:hAnsi="Calibri"/>
          <w:b/>
          <w:color w:val="000000"/>
          <w:sz w:val="22"/>
          <w:szCs w:val="22"/>
        </w:rPr>
        <w:t xml:space="preserve">e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shd w:fill="FFFF00" w:val="clear"/>
        </w:rPr>
      </w:pPr>
      <w:r>
        <w:rPr>
          <w:rFonts w:eastAsia="Calibri" w:cs="Calibri" w:ascii="Calibri" w:hAnsi="Calibri"/>
          <w:b/>
          <w:sz w:val="22"/>
          <w:szCs w:val="22"/>
          <w:shd w:fill="FFFF00" w:val="clear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/>
      </w:pPr>
      <w:r>
        <w:rPr>
          <w:rStyle w:val="Fontepargpadro"/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Style w:val="Fontepargpadro"/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Style w:val="Fontepargpadro"/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LOnormal"/>
        <w:tabs>
          <w:tab w:val="clear" w:pos="720"/>
        </w:tabs>
        <w:spacing w:before="113" w:after="0"/>
        <w:ind w:left="709" w:hanging="0"/>
        <w:jc w:val="both"/>
        <w:rPr/>
      </w:pPr>
      <w:r>
        <w:rPr>
          <w:rStyle w:val="Fontepargpadro"/>
          <w:rFonts w:eastAsia="Calibri" w:cs="Calibri" w:ascii="Calibri" w:hAnsi="Calibri"/>
          <w:b/>
          <w:sz w:val="22"/>
          <w:szCs w:val="22"/>
          <w:shd w:fill="FFFFFF" w:val="clear"/>
        </w:rPr>
        <w:t xml:space="preserve">2.1. </w:t>
      </w:r>
      <w:r>
        <w:rPr>
          <w:rStyle w:val="Fontepargpadro"/>
          <w:rFonts w:eastAsia="Calibri" w:cs="Calibri" w:ascii="Calibri" w:hAnsi="Calibri"/>
          <w:b w:val="false"/>
          <w:bCs w:val="false"/>
          <w:sz w:val="22"/>
          <w:szCs w:val="22"/>
          <w:shd w:fill="FFFFFF" w:val="clear"/>
        </w:rPr>
        <w:t>Ata da reunião anterior realizada em</w:t>
      </w:r>
      <w:r>
        <w:rPr>
          <w:rStyle w:val="Fontepargpadro"/>
          <w:rFonts w:eastAsia="Calibri" w:cs="Calibri" w:ascii="Calibri" w:hAnsi="Calibri"/>
          <w:b w:val="false"/>
          <w:bCs w:val="false"/>
          <w:sz w:val="22"/>
          <w:szCs w:val="22"/>
          <w:shd w:fill="auto" w:val="clear"/>
        </w:rPr>
        <w:t xml:space="preserve"> 16 de setembro de 2024.</w:t>
      </w:r>
    </w:p>
    <w:p>
      <w:pPr>
        <w:pStyle w:val="Corpodotexto"/>
        <w:tabs>
          <w:tab w:val="clear" w:pos="720"/>
        </w:tabs>
        <w:ind w:left="709" w:hanging="0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 w:before="0" w:after="120"/>
        <w:ind w:left="709" w:hanging="0"/>
        <w:jc w:val="both"/>
        <w:rPr>
          <w:color w:val="000000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Processos pautados em reuniões anteriores,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PENDENTES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 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TOMBAMENTO</w:t>
      </w:r>
    </w:p>
    <w:p>
      <w:pPr>
        <w:pStyle w:val="LOnormal"/>
        <w:tabs>
          <w:tab w:val="clear" w:pos="720"/>
        </w:tabs>
        <w:spacing w:lineRule="auto" w:line="360"/>
        <w:ind w:left="709" w:hanging="0"/>
        <w:jc w:val="both"/>
        <w:rPr/>
      </w:pP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3.2. 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Processos pautados para a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807ª REUNIÃO ORDINÁRIA  – 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Relativos a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TOMBAMENTO</w:t>
      </w:r>
    </w:p>
    <w:p>
      <w:pPr>
        <w:pStyle w:val="LOnormal"/>
        <w:tabs>
          <w:tab w:val="clear" w:pos="720"/>
        </w:tabs>
        <w:spacing w:lineRule="auto" w:line="360"/>
        <w:ind w:left="709" w:hanging="0"/>
        <w:jc w:val="both"/>
        <w:rPr/>
      </w:pP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3.3. 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Processos pautados em reuniões anteriores,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PENDENTES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 de deliberação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– 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>Relativos a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PATRIMÔNIO CULTURAL IMATERIAL</w:t>
      </w:r>
    </w:p>
    <w:p>
      <w:pPr>
        <w:pStyle w:val="Normal"/>
        <w:numPr>
          <w:ilvl w:val="0"/>
          <w:numId w:val="0"/>
        </w:numPr>
        <w:tabs>
          <w:tab w:val="clear" w:pos="720"/>
        </w:tabs>
        <w:spacing w:lineRule="auto" w:line="360"/>
        <w:ind w:left="709" w:hanging="0"/>
        <w:jc w:val="both"/>
        <w:outlineLvl w:val="2"/>
        <w:rPr/>
      </w:pP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3.4.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>Processos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 pautados em reuniões anteriores,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 PENDENTES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 de deliberação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– Relativos à aprovação de projetos de </w:t>
      </w:r>
      <w:r>
        <w:rPr>
          <w:rStyle w:val="Fontepargpadro"/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>INTERVENÇÃO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 em bens protegidos</w:t>
      </w:r>
    </w:p>
    <w:p>
      <w:pPr>
        <w:pStyle w:val="Normal"/>
        <w:numPr>
          <w:ilvl w:val="0"/>
          <w:numId w:val="0"/>
        </w:numPr>
        <w:tabs>
          <w:tab w:val="clear" w:pos="720"/>
        </w:tabs>
        <w:spacing w:lineRule="auto" w:line="360"/>
        <w:ind w:left="709" w:hanging="0"/>
        <w:jc w:val="both"/>
        <w:outlineLvl w:val="2"/>
        <w:rPr/>
      </w:pP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3.5.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>Processos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 para a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807ª</w:t>
      </w:r>
      <w:r>
        <w:rPr>
          <w:rStyle w:val="Fontepargpadro"/>
          <w:rFonts w:eastAsia="Calibri" w:cs="Calibri" w:ascii="Calibri" w:hAnsi="Calibri"/>
          <w:b w:val="false"/>
          <w:bCs w:val="false"/>
          <w:color w:val="000000"/>
          <w:sz w:val="22"/>
          <w:szCs w:val="22"/>
          <w:shd w:fill="auto" w:val="clear"/>
        </w:rPr>
        <w:t xml:space="preserve">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REUNIÃO ORDINÁRIA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– Relativos à aprovação de projetos de </w:t>
      </w:r>
      <w:r>
        <w:rPr>
          <w:rStyle w:val="Fontepargpadro"/>
          <w:rFonts w:eastAsia="Calibri" w:cs="Calibri" w:ascii="Calibri" w:hAnsi="Calibri"/>
          <w:b/>
          <w:color w:val="000000"/>
          <w:sz w:val="22"/>
          <w:szCs w:val="22"/>
          <w:shd w:fill="auto" w:val="clear"/>
        </w:rPr>
        <w:t>INTERVENÇÃO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 em bens protegidos</w:t>
      </w:r>
    </w:p>
    <w:p>
      <w:pPr>
        <w:pStyle w:val="Normal"/>
        <w:numPr>
          <w:ilvl w:val="0"/>
          <w:numId w:val="0"/>
        </w:numPr>
        <w:tabs>
          <w:tab w:val="clear" w:pos="720"/>
        </w:tabs>
        <w:spacing w:lineRule="auto" w:line="360"/>
        <w:ind w:left="709" w:hanging="0"/>
        <w:jc w:val="both"/>
        <w:outlineLvl w:val="2"/>
        <w:rPr/>
      </w:pP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3.6.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Processos pautados para a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>807ª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REUNIÃO ORDINÁRIA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 xml:space="preserve">– Com proposta de </w:t>
      </w:r>
      <w:r>
        <w:rPr>
          <w:rStyle w:val="Fontepargpadro"/>
          <w:rFonts w:eastAsia="Calibri" w:cs="Calibri" w:ascii="Calibri" w:hAnsi="Calibri"/>
          <w:b/>
          <w:bCs/>
          <w:color w:val="000000"/>
          <w:sz w:val="22"/>
          <w:szCs w:val="22"/>
          <w:shd w:fill="auto" w:val="clear"/>
        </w:rPr>
        <w:t xml:space="preserve">INDEFERIMENTO </w:t>
      </w:r>
      <w:r>
        <w:rPr>
          <w:rStyle w:val="Fontepargpadro"/>
          <w:rFonts w:eastAsia="Calibri" w:cs="Calibri" w:ascii="Calibri" w:hAnsi="Calibri"/>
          <w:color w:val="000000"/>
          <w:sz w:val="22"/>
          <w:szCs w:val="22"/>
          <w:shd w:fill="auto" w:val="clear"/>
        </w:rPr>
        <w:t>por abandono ou não atendimento de comunique-se</w:t>
      </w:r>
    </w:p>
    <w:p>
      <w:pPr>
        <w:pStyle w:val="LOnormal"/>
        <w:spacing w:before="0" w:after="1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Extrapauta:</w:t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mallCaps/>
          <w:color w:val="000000"/>
          <w:sz w:val="22"/>
          <w:szCs w:val="22"/>
        </w:rPr>
        <w:t>3.1. P</w:t>
      </w:r>
      <w:r>
        <w:rPr>
          <w:rFonts w:eastAsia="Calibri" w:cs="Calibri" w:ascii="Calibri" w:hAnsi="Calibri"/>
          <w:b/>
          <w:bCs/>
          <w:i w:val="false"/>
          <w:smallCaps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ROCESSOS PAUTADOS EM REUNIÕES ANTERIORES, PENDENTES DE DELIBERAÇÃO – </w:t>
      </w:r>
      <w:r>
        <w:rPr>
          <w:rFonts w:cs="Calibri" w:ascii="Calibri" w:hAnsi="Calibri"/>
          <w:b/>
          <w:bCs/>
          <w:caps/>
          <w:color w:val="000000"/>
          <w:sz w:val="22"/>
          <w:szCs w:val="22"/>
          <w:shd w:fill="auto" w:val="clear"/>
        </w:rPr>
        <w:t>Relativos A TOMBAMENTO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color w:val="C9211E"/>
          <w:sz w:val="22"/>
          <w:szCs w:val="22"/>
        </w:rPr>
      </w:pPr>
      <w:r>
        <w:rPr>
          <w:rFonts w:cs="Calibri" w:ascii="Calibri" w:hAnsi="Calibri"/>
          <w:b/>
          <w:color w:val="C9211E"/>
          <w:sz w:val="22"/>
          <w:szCs w:val="22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6"/>
        <w:gridCol w:w="7278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 xml:space="preserve">PROCESSO: </w:t>
            </w:r>
            <w:r>
              <w:rPr>
                <w:rStyle w:val="Strong"/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6025.2020/0016288-6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Maria Isabel Rosado de Carvalho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Tombamento definitivo do sobrado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Visconde de Ouro Preto, nºs 118 e 124 - Consolação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mallCaps/>
          <w:color w:val="000000"/>
          <w:sz w:val="22"/>
          <w:szCs w:val="22"/>
        </w:rPr>
        <w:t xml:space="preserve">3.2. </w:t>
      </w:r>
      <w:r>
        <w:rPr>
          <w:rStyle w:val="Fontepargpadro"/>
          <w:rFonts w:eastAsia="Calibri" w:cs="Calibri" w:ascii="Calibri" w:hAnsi="Calibri"/>
          <w:b/>
          <w:bCs/>
          <w:smallCaps/>
          <w:color w:val="000000"/>
          <w:sz w:val="22"/>
          <w:szCs w:val="22"/>
          <w:shd w:fill="auto" w:val="clear"/>
        </w:rPr>
        <w:t>PROCESSOS PAUTADOS PARA A 807ª REUNIÃO ORDINÁRIA – RELATIVOS A TOMBAMENTO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color w:val="C9211E"/>
          <w:sz w:val="22"/>
          <w:szCs w:val="22"/>
        </w:rPr>
      </w:pPr>
      <w:r>
        <w:rPr>
          <w:rFonts w:cs="Calibri" w:ascii="Calibri" w:hAnsi="Calibri"/>
          <w:b/>
          <w:color w:val="C9211E"/>
          <w:sz w:val="22"/>
          <w:szCs w:val="22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6"/>
        <w:gridCol w:w="7278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 xml:space="preserve">PROCESSO: </w:t>
            </w:r>
            <w:r>
              <w:rPr>
                <w:rStyle w:val="Strong"/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6025.2024/0011445-5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PAULO HENRIQUE FERNANDES DA SILVA FILHO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Tombamento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Capitão Rabelo, 342 - Jardim São Paulo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6"/>
        <w:gridCol w:w="7278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 xml:space="preserve">PROCESSO: </w:t>
            </w:r>
            <w:r>
              <w:rPr>
                <w:rStyle w:val="Strong"/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pt-BR" w:eastAsia="zh-CN" w:bidi="ar-SA"/>
              </w:rPr>
              <w:t>6025.2020/0022254-4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Fabricio Jose Del Nero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Tombamento</w:t>
            </w:r>
          </w:p>
        </w:tc>
      </w:tr>
      <w:tr>
        <w:trPr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Amoroso Costa, 251 - Jardim São Paulo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Fontepargpadro"/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  <w:t>3.3. Processos pautados EM REUNIÕES ANTERIORES, PENDENTES DE DELIBERAÇÃO – Relativos a PATRIMÔNIO CULTURAL</w:t>
      </w:r>
      <w:r>
        <w:rPr>
          <w:rFonts w:cs="" w:ascii="Calibri" w:hAnsi="Calibri" w:cstheme="minorHAnsi"/>
          <w:b/>
          <w:color w:val="C9211E"/>
          <w:sz w:val="22"/>
          <w:szCs w:val="22"/>
          <w:shd w:fill="B2B2B2" w:val="clear"/>
        </w:rPr>
        <w:t xml:space="preserve"> </w:t>
      </w:r>
      <w:r>
        <w:rPr>
          <w:rStyle w:val="Fontepargpadro"/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  <w:t>IMATERIAL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bCs/>
          <w:i w:val="false"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10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6"/>
        <w:gridCol w:w="7278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 w:cs="" w:cstheme="minorHAnsi"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PROCESSO:</w:t>
            </w:r>
            <w:r>
              <w:rPr>
                <w:rStyle w:val="Strong"/>
                <w:rFonts w:eastAsia="Times New Roman" w:cs="" w:ascii="Calibri" w:hAnsi="Calibri" w:cs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 xml:space="preserve"> 6025.2023/0031078-3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Filhos da Bahia – IFDB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Calibri" w:hAnsi="Calibri" w:cs="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cstheme="min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" w:ascii="Calibri" w:hAnsi="Calibri" w:cstheme="min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reconhecimento do Axé Music como Patrimônio Cultural Imaterial da Cidade de São Paulo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" w:cstheme="minorHAnsi"/>
          <w:b/>
          <w:b/>
          <w:color w:val="C9211E"/>
          <w:sz w:val="22"/>
          <w:szCs w:val="22"/>
        </w:rPr>
      </w:pPr>
      <w:r>
        <w:rPr>
          <w:rFonts w:cs="" w:cstheme="minorHAnsi" w:ascii="Calibri" w:hAnsi="Calibri"/>
          <w:b/>
          <w:color w:val="C9211E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B3B3B3"/>
        <w:tabs>
          <w:tab w:val="clear" w:pos="720"/>
          <w:tab w:val="left" w:pos="450" w:leader="none"/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454" w:right="0" w:hanging="454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EM REUNIÕES ANTERIORES, PENDENTES DE DELIBERAÇÃO – RELATIVOS À APROVAÇÃO DE PROJETOS DE INTERVENÇÃO EM BENS PROTEGIDOS</w:t>
      </w:r>
    </w:p>
    <w:p>
      <w:pPr>
        <w:pStyle w:val="LO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  <w:shd w:fill="auto" w:val="clear"/>
              </w:rPr>
              <w:t>6025.2023/0001872-1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Elysium Sociedade Cultural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Pedido de reforma e restauro da cobertura do edifício das coberturas e terraço da Arquibancada social - Jockey Club de São Paulo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Avenida Lineu de Paula Machado, nº 1.263 - Butantã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color w:val="C9211E"/>
          <w:sz w:val="22"/>
          <w:szCs w:val="22"/>
        </w:rPr>
      </w:pPr>
      <w:r>
        <w:rPr>
          <w:rFonts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color w:val="C9211E"/>
          <w:sz w:val="22"/>
          <w:szCs w:val="22"/>
        </w:rPr>
      </w:pPr>
      <w:r>
        <w:rPr>
          <w:rFonts w:cs="Calibri" w:ascii="Calibri" w:hAnsi="Calibri"/>
          <w:b/>
          <w:color w:val="C9211E"/>
          <w:sz w:val="22"/>
          <w:szCs w:val="22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color w:val="C9211E"/>
          <w:sz w:val="22"/>
          <w:szCs w:val="22"/>
        </w:rPr>
      </w:pPr>
      <w:r>
        <w:rPr>
          <w:rFonts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 xml:space="preserve">PROCESSO: </w:t>
            </w: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shd w:fill="auto" w:val="clear"/>
                <w:lang w:bidi="ar-SA"/>
              </w:rPr>
              <w:t>6025.2023/0035793-3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Arquidiocese Católica Apostólica Ortodoxa Antioquina de São Paulo e todo o Brasil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 xml:space="preserve">Regularização das intervenções realizadas na Igreja Ortodoxa Antioquina de Nossa Senhora 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Cavaleiro Basílio Jafet, nº 115 – Centro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color w:val="C9211E"/>
          <w:sz w:val="22"/>
          <w:szCs w:val="22"/>
        </w:rPr>
      </w:pPr>
      <w:r>
        <w:rPr>
          <w:rFonts w:cs="Calibri" w:ascii="Calibri" w:hAnsi="Calibri"/>
          <w:b/>
          <w:color w:val="C9211E"/>
          <w:sz w:val="22"/>
          <w:szCs w:val="22"/>
        </w:rPr>
      </w:r>
    </w:p>
    <w:p>
      <w:pPr>
        <w:pStyle w:val="Normal"/>
        <w:pageBreakBefore w:val="false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6025.2020/0028256-3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Yuri Correa da Luz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Benito Juarez, nº 107 - Vila Mariana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FF0000"/>
          <w:sz w:val="22"/>
          <w:szCs w:val="22"/>
        </w:rPr>
      </w:pPr>
      <w:r>
        <w:rPr>
          <w:rFonts w:eastAsia="Calibri" w:cs="Calibri" w:ascii="Calibri" w:hAnsi="Calibri"/>
          <w:b/>
          <w:color w:val="FF0000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7810.2024/0000059-0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Núcleo de Desenho Urbano (SP-URB/DDU-NDU)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Projeto de Requalificação Urbana do Centro da Lapa 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William Speers (entre a Rua Belchior Carneiro e Rua Calendário), a Rua John Harrison (entre a Praça Melvim Jones e a Rua 12 de Outubro), a Rua Conrado Moreschi, a Praça Melvim Jones (junto ao Mercado da Lapa), a Rua Dr. Cincinato Pomponet, a Rua 12 de Outubro (entre a Rua Dr. Cincinato Pomponet e a Rua Afonso Sardinha), a Rua Nossa Senhora da Lapa (entre o Viaduto Comendador Elias Nagib Breim e a Rua Afonso Sardinha), a Rua Trajano (entre o Viaduto Comendador Elias Nagib Breim e a Rua Joaquim Machado) e a Rua Guaicurus (entre a Viela Ema A. Murari e a Rua Catão)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hd w:val="clear" w:fill="B3B3B3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Style w:val="Fontepargpadro"/>
          <w:rFonts w:eastAsia="Calibri" w:cs="Calibri" w:ascii="Calibri" w:hAnsi="Calibri"/>
          <w:b/>
          <w:smallCaps/>
          <w:color w:val="000000"/>
          <w:sz w:val="22"/>
          <w:szCs w:val="22"/>
        </w:rPr>
        <w:t>3.5. PROCESSOS PAUTADOS PARA A 807ª REUNIÃO ORDINÁRIA – RELATIVOS À APROVAÇÃO DE PROJETOS DE INTERVENÇÃO EM BENS PROTEGIDOS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6025.2023/0004248-7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Márcio Cordeiro Vaz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Pedido de construção nova 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Av. São João, 596-610 x Av. Ipiranga, 866 - Centro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pageBreakBefore w:val="false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6025.2024/0016032-5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URBIA GESTÃO DE PARQUES SPE S.A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Projeto Modificativo de Reforma 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Avenida República do Líbano, s/n (Parque do Ibirapuera)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6025.2023/0038590-2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URBIA GESTÃO DE PARQUES SPE S.A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regularização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Avenida República do Líbano, s/n (Parque do Ibirapuera)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6025.2023/0021004-5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 xml:space="preserve">RENATA FISCHER FERNANDES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remembramento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Professor Álvaro Guerra, 74/80/98 - Jardim Europa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pageBreakBefore w:val="false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6025.2024/0007314-7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PATEO DO CAMBUCI LOTE 06 EMPREENDIMENTOS E PARTICIPACOES LTDA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Projeto Modificativo de Construção Nova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Junqueira Freire, 185 - Cambuci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6025.2024/0004021-4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spacing w:val="0"/>
                <w:w w:val="100"/>
                <w:position w:val="0"/>
                <w:sz w:val="24"/>
                <w:sz w:val="24"/>
                <w:u w:val="none"/>
                <w:shd w:fill="auto" w:val="clear"/>
                <w:vertAlign w:val="baseline"/>
                <w:em w:val="none"/>
                <w:lang w:val="pt-BR" w:eastAsia="zh-CN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Consórcio Borboletas SPE LTDA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restauro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Praça Alexandre de Gusmão - Cerqueira César (Luminárias Ornamentais da Light)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6025.2024/0012871-5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Celso Fernandes Campilongo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restauro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Largo São Francisco, 95 – Centro (Sala João Monteiro - Edifício da Faculdade de Direito da USP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6025.2023/0001831-4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spacing w:val="0"/>
                <w:w w:val="100"/>
                <w:position w:val="0"/>
                <w:sz w:val="24"/>
                <w:sz w:val="24"/>
                <w:u w:val="none"/>
                <w:shd w:fill="auto" w:val="clear"/>
                <w:vertAlign w:val="baseline"/>
                <w:em w:val="none"/>
                <w:lang w:val="pt-BR" w:eastAsia="zh-CN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Superintendência do Espaço Físico - SEF/USP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Largo São Francisco, 95 – Centro (Edifício da Faculdade de Direito da USP)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6025.2024/0012305-5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Celso Fernandes Campilongo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Largo São Francisco, 95 - Centro (Sala Dino Bueno - Edifício da Faculdade de Direito da USP)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6025.2024/0004345-0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-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Denúncia sobre irregularidades em bem tombado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Avenida Berta Waitman, s/nº - Interlagos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6025.2024/0020020-3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Secretaria Municipal de Mobilidade e Trânsito - SMT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construção do Complexo Viário Sena Madureira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Setor 042e Quadra 011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6025.2022/0006884-0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Carlos Augusto Mattei Faggin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instalação de Anúncio Indicativo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 xml:space="preserve">Rua Coronel Xavier de Toledo, 23 a 57 - República 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6025.2023/0020217-4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Marina Zocca Vilela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regularização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Avenida Pedro Álvares Cabral, s/nº - Parque do Ibirapuera (Pavilhão da Bienal - Cicillo Matarazzo)</w:t>
            </w:r>
          </w:p>
        </w:tc>
      </w:tr>
    </w:tbl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p>
      <w:pPr>
        <w:pStyle w:val="Normal"/>
        <w:rPr/>
      </w:pPr>
      <w:r>
        <w:rPr>
          <w:rStyle w:val="Fontepargpadro"/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  <w:t>3.6. PROCESSOS PAUTADOS PARA A 807ª REUNIÃO ORDINÁRIA – COM PROPOSTA DE INDEFERIMENTO POR ABANDONO OU</w:t>
      </w:r>
      <w:r>
        <w:rPr>
          <w:rFonts w:ascii="Calibri" w:hAnsi="Calibri"/>
          <w:bCs w:val="false"/>
          <w:i w:val="false"/>
          <w:iC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  <w:t xml:space="preserve"> </w:t>
      </w:r>
      <w:r>
        <w:rPr>
          <w:rStyle w:val="Fontepargpadro"/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  <w:t>NÃO ATENDIMENTO DE COMUNIQUE-SE</w:t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6025.2023/0017529-0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 xml:space="preserve">FERNANDA ASSAD JAFET HOLDING LTDA 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assinatura de Termo de Compromisso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Costa Aguiar, 1055 - Ipiranga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6025.2023/0019430-9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FELIPE BEZERRA DE ALMEIDA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manutenção, conservação e restauro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Benedito Maria Cardoso, 172 - Mooca (Condomínio Edifício D17)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6025.2021/0000074-8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ASSOCIAÇÃO SANTA MARCELINA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Atestado de Conservação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 xml:space="preserve">Rua Cardoso de Almeida, 541 - Perdizes (Colégio Santa Marcelina)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6025.2023/0022133-0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Materiais de Construção ITUXI LTDA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regularização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Correia de Andrade, 179 - Brás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6025.2023/0020460-6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Patricia Maria de Godoy Magnani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assinatura de Termo de Compromisso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Quintino Bocaiúva, 148/166/176/182 - Centro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6025.2024/0001328-4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Secretaria de Educação do Estado de São Paulo/SEDUC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Avenida Paulista, 227 - Paraíso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rPr>
          <w:rStyle w:val="Fontepargpadro"/>
          <w:rFonts w:ascii="Calibri" w:hAnsi="Calibri" w:eastAsia="Calibri" w:cs="Calibri"/>
          <w:b/>
          <w:b/>
          <w:bCs w:val="false"/>
          <w:i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pPr>
      <w:r>
        <w:rPr>
          <w:rFonts w:eastAsia="Calibri" w:cs="Calibri" w:ascii="Calibri" w:hAnsi="Calibri"/>
          <w:b/>
          <w:bCs w:val="false"/>
          <w:i w:val="false"/>
          <w:iCs w:val="false"/>
          <w:small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/>
          <w:shd w:fill="B2B2B2" w:val="clear"/>
          <w:vertAlign w:val="baseline"/>
          <w:em w:val="none"/>
          <w:lang w:val="pt-BR" w:eastAsia="zh-CN" w:bidi="hi-IN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6025.2023/0019748-0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SIMONE DE SOUZA ROCHA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regularização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Anjos do Mar, 118 - Freguesia do Ó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6025.2023/0006985-7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Edifício Mina Klabin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Pedido de Atestado de Conservação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 xml:space="preserve">Alameda Barão de Limeira, 1003 - Campos Elíseos (Edifício Mina Klabin) 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6025.2024/0020678-3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JMC PUBLICIDADE PROMOCOES E MERCHANDISING LTDA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realização de evento/instalação temporária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Praça Armando Salles de Oliveira, 1745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br w:type="page"/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pageBreakBefore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6025.2024/0017813-5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ASSOCIAÇÃO B3 DE EDUCAÇÃO E CULTURA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realização de evento/instalação temporária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XV de Novembro, 275 - Centro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ageBreakBefore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6025.2024/0019744-0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Associação dos Deficientes Visuais de Taubaté e Vale do Paraíba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realização de evento/instalação temporária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Praça Charles Miller, s/n - Pacaembu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6025.2024/0006498-9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Central Única dos Trabalhadores de São Paulo - CUT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realização de evento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</w:rPr>
              <w:t>Praça da República - Centro</w:t>
            </w:r>
            <w:r>
              <w:rPr/>
              <w:t xml:space="preserve"> 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6025.2024/0001317-9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Secretaria de Educação do Estado de São Paulo/SEDUC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2"/>
                <w:lang w:bidi="ar-SA"/>
              </w:rPr>
              <w:t>Rua João Guimarães Rosa, nº 111 - Consolação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6025.2024/0001173-7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>Secretaria da Educação do Estado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rte"/>
                <w:rFonts w:eastAsia="Times New Roman" w:cs="Calibri" w:ascii="Calibri" w:hAnsi="Calibri"/>
                <w:b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em w:val="none"/>
                <w:lang w:val="pt-BR" w:eastAsia="zh-CN" w:bidi="ar-SA"/>
              </w:rPr>
              <w:t xml:space="preserve">Pedido de reforma 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2"/>
                <w:lang w:bidi="ar-SA"/>
              </w:rPr>
              <w:t>Avenida Cruzeiro do Sul, nº 3.301 – Santana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</w:tr>
    </w:tbl>
    <w:p>
      <w:pPr>
        <w:pStyle w:val="Normal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  <w:lang w:bidi="ar-SA"/>
              </w:rPr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6025.2024/0001319-5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Secretaria de Educação do Estado de São Paulo/SEDUC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Rua Vitorino Camilo, nº 621 – Barra Funda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ageBreakBefore w:val="fals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9846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719"/>
        <w:gridCol w:w="7296"/>
      </w:tblGrid>
      <w:tr>
        <w:trPr>
          <w:trHeight w:val="261" w:hRule="atLeast"/>
          <w:cantSplit w:val="true"/>
        </w:trPr>
        <w:tc>
          <w:tcPr>
            <w:tcW w:w="831" w:type="dxa"/>
            <w:vMerge w:val="restart"/>
            <w:tcBorders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Calibri" w:ascii="Calibri" w:hAnsi="Calibri"/>
                <w:color w:val="000000"/>
                <w:sz w:val="22"/>
                <w:szCs w:val="22"/>
                <w:lang w:bidi="ar-SA"/>
              </w:rPr>
              <w:t>PROCESSO: 6025.2024/0001216-4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rte"/>
                <w:rFonts w:ascii="Calibri" w:hAnsi="Calibri" w:eastAsia="Times New Roman" w:cs="Calibri"/>
                <w:b w:val="false"/>
                <w:b w:val="false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Secretaria de Educação do Estado de São Paulo/SEDUC</w:t>
            </w:r>
          </w:p>
        </w:tc>
      </w:tr>
      <w:tr>
        <w:trPr>
          <w:trHeight w:val="347" w:hRule="atLeast"/>
          <w:cantSplit w:val="true"/>
        </w:trPr>
        <w:tc>
          <w:tcPr>
            <w:tcW w:w="83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color w:val="C9211E"/>
                <w:sz w:val="22"/>
                <w:szCs w:val="22"/>
              </w:rPr>
            </w:pPr>
            <w:r>
              <w:rPr>
                <w:rFonts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Forte"/>
                <w:rFonts w:eastAsia="Times New Roman" w:cs="Calibri" w:ascii="Calibri" w:hAnsi="Calibri"/>
                <w:b w:val="false"/>
                <w:color w:val="000000"/>
                <w:kern w:val="0"/>
                <w:sz w:val="22"/>
                <w:szCs w:val="22"/>
                <w:lang w:bidi="ar-SA"/>
              </w:rPr>
              <w:t>Pedido de reforma</w:t>
            </w:r>
          </w:p>
        </w:tc>
      </w:tr>
      <w:tr>
        <w:trPr>
          <w:trHeight w:val="167" w:hRule="atLeast"/>
          <w:cantSplit w:val="true"/>
        </w:trPr>
        <w:tc>
          <w:tcPr>
            <w:tcW w:w="831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Calibri" w:hAnsi="Calibri" w:eastAsia="Calibri" w:cs="Calibri"/>
                <w:color w:val="C9211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2"/>
                <w:szCs w:val="22"/>
                <w:lang w:bidi="ar-SA"/>
              </w:rPr>
              <w:t>Rua Dona Júlia, nº 27 – Vila Mariana</w:t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tulo31"/>
        <w:numPr>
          <w:ilvl w:val="0"/>
          <w:numId w:val="0"/>
        </w:numPr>
        <w:shd w:val="clear" w:fill="B3B3B3"/>
        <w:tabs>
          <w:tab w:val="clear" w:pos="720"/>
          <w:tab w:val="left" w:pos="0" w:leader="none"/>
        </w:tabs>
        <w:spacing w:lineRule="auto" w:line="360"/>
        <w:ind w:left="0" w:hanging="0"/>
        <w:jc w:val="both"/>
        <w:rPr>
          <w:rFonts w:ascii="Calibri" w:hAnsi="Calibri"/>
        </w:rPr>
      </w:pPr>
      <w:r>
        <w:rPr>
          <w:rStyle w:val="Fontepargpadro"/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 xml:space="preserve">4.  </w:t>
      </w:r>
      <w:r>
        <w:rPr>
          <w:rStyle w:val="Fontepargpadro"/>
          <w:rFonts w:eastAsia="Calibri" w:cs="Calibri" w:ascii="Calibri" w:hAnsi="Calibri"/>
          <w:b/>
          <w:smallCaps/>
          <w:color w:val="000000"/>
          <w:sz w:val="22"/>
          <w:szCs w:val="22"/>
        </w:rPr>
        <w:t>TEMAS GERAIS/EXTRAPAUTA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>DOC 23/09/2024 – P. 87-88</w:t>
      </w:r>
    </w:p>
    <w:sectPr>
      <w:headerReference w:type="default" r:id="rId3"/>
      <w:type w:val="nextPage"/>
      <w:pgSz w:w="11906" w:h="16838"/>
      <w:pgMar w:left="1134" w:right="902" w:header="1134" w:top="2499" w:footer="0" w:bottom="1134" w:gutter="0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25"/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768"/>
      <w:gridCol w:w="8094"/>
    </w:tblGrid>
    <w:tr>
      <w:trPr>
        <w:trHeight w:val="955" w:hRule="atLeast"/>
      </w:trPr>
      <w:tc>
        <w:tcPr>
          <w:tcW w:w="1768" w:type="dxa"/>
          <w:tcBorders/>
          <w:shd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fill="auto" w:val="clear"/>
          <w:vAlign w:val="center"/>
        </w:tcPr>
        <w:p>
          <w:pPr>
            <w:pStyle w:val="LOnormal"/>
            <w:widowControl w:val="false"/>
            <w:spacing w:lineRule="auto" w:line="240"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lineRule="auto" w:line="240"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56"/>
        <w:i w:val="false"/>
        <w:b/>
        <w:szCs w:val="56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qFormat/>
    <w:rPr>
      <w:color w:val="0563C1"/>
      <w:u w:val="single"/>
    </w:rPr>
  </w:style>
  <w:style w:type="character" w:styleId="Forte">
    <w:name w:val="Forte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Forte2">
    <w:name w:val="Forte2"/>
    <w:qFormat/>
    <w:rPr>
      <w:b/>
      <w:bCs/>
    </w:rPr>
  </w:style>
  <w:style w:type="character" w:styleId="MenoPendente">
    <w:name w:val="Menção Pendente"/>
    <w:basedOn w:val="Fontepargpadro"/>
    <w:qFormat/>
    <w:rPr>
      <w:color w:val="605E5C"/>
      <w:shd w:fill="E1DFDD" w:val="clear"/>
    </w:rPr>
  </w:style>
  <w:style w:type="character" w:styleId="WWCharLFO2LVL1">
    <w:name w:val="WW_CharLFO2LVL1"/>
    <w:qFormat/>
    <w:rPr>
      <w:rFonts w:ascii="Calibri" w:hAnsi="Calibri" w:eastAsia="Calibri" w:cs="Calibri"/>
      <w:b/>
      <w:i w:val="false"/>
      <w:color w:val="000000"/>
      <w:sz w:val="56"/>
      <w:szCs w:val="56"/>
    </w:rPr>
  </w:style>
  <w:style w:type="character" w:styleId="Forte1">
    <w:name w:val="Forte1"/>
    <w:qFormat/>
    <w:rPr>
      <w:b/>
      <w:bCs/>
    </w:rPr>
  </w:style>
  <w:style w:type="character" w:styleId="Smbolosdenumerao">
    <w:name w:val="Símbolos de numeraç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1">
    <w:name w:val="LO-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zh-CN" w:bidi="hi-IN"/>
    </w:rPr>
  </w:style>
  <w:style w:type="paragraph" w:styleId="Ttulo31">
    <w:name w:val="Título 31"/>
    <w:basedOn w:val="LOnormal"/>
    <w:next w:val="LOnormal"/>
    <w:qFormat/>
    <w:pPr>
      <w:keepNext w:val="true"/>
      <w:suppressAutoHyphens w:val="true"/>
      <w:outlineLvl w:val="2"/>
    </w:pPr>
    <w:rPr>
      <w:rFonts w:ascii="Arial" w:hAnsi="Arial" w:eastAsia="Arial" w:cs="Arial"/>
      <w:sz w:val="24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ListParagraph">
    <w:name w:val="List Paragraph"/>
    <w:basedOn w:val="LOnormal"/>
    <w:qFormat/>
    <w:pPr>
      <w:ind w:left="708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2546</TotalTime>
  <Application>LibreOffice/7.1.7.2$Windows_X86_64 LibreOffice_project/c6a4e3954236145e2acb0b65f68614365aeee33f</Application>
  <AppVersion>15.0000</AppVersion>
  <Pages>7</Pages>
  <Words>1430</Words>
  <Characters>8893</Characters>
  <CharactersWithSpaces>10039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2024-07-23T09:33:00Z</dcterms:created>
  <dc:creator/>
  <dc:description/>
  <dc:language>pt-BR</dc:language>
  <cp:lastModifiedBy/>
  <dcterms:modified xsi:type="dcterms:W3CDTF">2024-09-23T09:33:10Z</dcterms:modified>
  <cp:revision>276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