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827ª REUNIÃO ORDINÁRIA</w:t>
      </w:r>
    </w:p>
    <w:p>
      <w:pPr>
        <w:pStyle w:val="LOnormal"/>
        <w:jc w:val="center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Data: 01/09/2025 - Horário: 14h30</w:t>
      </w:r>
    </w:p>
    <w:p>
      <w:pPr>
        <w:pStyle w:val="LOnormal"/>
        <w:jc w:val="center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</w:t>
      </w: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 – 1º andar</w:t>
      </w:r>
    </w:p>
    <w:p>
      <w:pPr>
        <w:pStyle w:val="LOnormal"/>
        <w:jc w:val="center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“</w:t>
      </w:r>
      <w:r>
        <w:rPr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as 17h00 do último dia útil anterior à data da reunião, através do e-mail </w:t>
      </w:r>
      <w:r>
        <w:rPr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Ata</w:t>
      </w:r>
      <w:r>
        <w:rPr>
          <w:rFonts w:eastAsia="Calibri" w:cs="Calibri" w:ascii="Calibri" w:hAnsi="Calibri"/>
          <w:spacing w:val="-5"/>
          <w:sz w:val="22"/>
          <w:szCs w:val="22"/>
          <w:shd w:fill="FFFFFF" w:val="clear"/>
        </w:rPr>
        <w:t xml:space="preserve">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da</w:t>
      </w:r>
      <w:r>
        <w:rPr>
          <w:rFonts w:eastAsia="Calibri" w:cs="Calibri" w:ascii="Calibri" w:hAnsi="Calibri"/>
          <w:spacing w:val="-3"/>
          <w:sz w:val="22"/>
          <w:szCs w:val="22"/>
          <w:shd w:fill="FFFFFF" w:val="clear"/>
        </w:rPr>
        <w:t xml:space="preserve">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reunião anterior realizada em 18/08/2025</w:t>
      </w:r>
      <w:r>
        <w:rPr>
          <w:rFonts w:eastAsia="Calibri" w:cs="Calibri" w:ascii="Calibri" w:hAnsi="Calibri"/>
          <w:spacing w:val="-2"/>
          <w:sz w:val="22"/>
          <w:szCs w:val="22"/>
          <w:shd w:fill="FFFFFF" w:val="clear"/>
        </w:rPr>
        <w:t>.</w:t>
      </w:r>
    </w:p>
    <w:p>
      <w:pPr>
        <w:pStyle w:val="Corpodotexto"/>
        <w:ind w:left="709" w:hanging="0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pacing w:before="0" w:after="120"/>
        <w:jc w:val="both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 xml:space="preserve">3.1. </w:t>
      </w:r>
      <w:r>
        <w:rPr/>
        <w:t>Processos pautados em reuniões anteriores,</w:t>
      </w:r>
      <w:r>
        <w:rPr>
          <w:b/>
          <w:bCs/>
        </w:rPr>
        <w:t xml:space="preserve"> PENDENTES</w:t>
      </w:r>
      <w:r>
        <w:rPr/>
        <w:t xml:space="preserve"> de deliberação - relativos à </w:t>
      </w:r>
      <w:r>
        <w:rPr>
          <w:b/>
          <w:bCs/>
        </w:rPr>
        <w:t>TOMBAMENTO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>3.2.</w:t>
      </w:r>
      <w:r>
        <w:rPr/>
        <w:t xml:space="preserve"> Processos pautados em reuniões anteriores, </w:t>
      </w:r>
      <w:r>
        <w:rPr>
          <w:b/>
          <w:bCs/>
        </w:rPr>
        <w:t xml:space="preserve">PENDENTES </w:t>
      </w:r>
      <w:r>
        <w:rPr/>
        <w:t xml:space="preserve">de deliberação – Relativos à aprovação de projetos de </w:t>
      </w:r>
      <w:r>
        <w:rPr>
          <w:b/>
          <w:bCs/>
        </w:rPr>
        <w:t xml:space="preserve">INTERVENÇÃO </w:t>
      </w:r>
      <w:r>
        <w:rPr/>
        <w:t>em bens protegidos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 xml:space="preserve">3.3. </w:t>
      </w:r>
      <w:r>
        <w:rPr/>
        <w:t xml:space="preserve">Processos pautados para a </w:t>
      </w:r>
      <w:r>
        <w:rPr>
          <w:b/>
          <w:bCs/>
        </w:rPr>
        <w:t xml:space="preserve">827ª REUNIÃO ORDINÁRIA </w:t>
      </w:r>
      <w:r>
        <w:rPr/>
        <w:t xml:space="preserve">– Relativos à aprovação de projetos de </w:t>
      </w:r>
      <w:r>
        <w:rPr>
          <w:b/>
          <w:bCs/>
        </w:rPr>
        <w:t xml:space="preserve">INTERVENÇÃO </w:t>
      </w:r>
      <w:r>
        <w:rPr/>
        <w:t>em bens protegidos</w:t>
      </w:r>
    </w:p>
    <w:p>
      <w:pPr>
        <w:pStyle w:val="Normal"/>
        <w:spacing w:lineRule="auto" w:line="360"/>
        <w:ind w:left="737" w:hanging="0"/>
        <w:rPr/>
      </w:pPr>
      <w:r>
        <w:rPr>
          <w:b/>
          <w:bCs/>
        </w:rPr>
        <w:t xml:space="preserve">3.4. </w:t>
      </w:r>
      <w:r>
        <w:rPr/>
        <w:t>Processos pautados para a</w:t>
      </w:r>
      <w:r>
        <w:rPr>
          <w:b/>
          <w:bCs/>
        </w:rPr>
        <w:t xml:space="preserve"> 827ª REUNIÃO ORDINÁRIA – </w:t>
      </w:r>
      <w:r>
        <w:rPr/>
        <w:t>para</w:t>
      </w:r>
      <w:r>
        <w:rPr>
          <w:b/>
          <w:bCs/>
        </w:rPr>
        <w:t xml:space="preserve"> CIÊNCIA</w:t>
      </w:r>
    </w:p>
    <w:p>
      <w:pPr>
        <w:pStyle w:val="Normal"/>
        <w:spacing w:lineRule="auto" w:line="360"/>
        <w:ind w:left="737" w:hanging="0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LOnormal"/>
        <w:spacing w:before="0" w:after="120"/>
        <w:jc w:val="both"/>
        <w:rPr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  <w:r>
        <w:br w:type="page"/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/>
      </w:pPr>
      <w:r>
        <w:rPr>
          <w:rFonts w:eastAsia="Calibri" w:cs="Calibri"/>
          <w:b/>
          <w:bCs/>
          <w:smallCaps/>
          <w:kern w:val="0"/>
          <w:shd w:fill="B2B2B2" w:val="clear"/>
        </w:rPr>
        <w:t>3.1. PROCESSOS PAUTADOS EM REUNIÕES ANTERIORES, PENDENTES DE DELIBERAÇÃO – RELATIVOS À TOMBAMENTO</w:t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2006-0.267.971-7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Cintia Ema Padovan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Tombamento de Vila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Av. Cons. Rodrigues Alves, nºs. 275,281 E 289 - CASAS 1 A 07 - Vl. Mariana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3.2. PROCESSOS PAUTADOS EM REUNIÕES ANTERIORES, PENDENTES DE DELIBERAÇÃO – RELATIVOS À APROVAÇÃO DE PROJETOS DE INTERVENÇÃO EM BENS PROTEGIDOS</w:t>
      </w:r>
    </w:p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6025.2024/0028633-7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Secretaria Municipal de Cultura/Núcleo de Engenharia e Arquitetura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manutenção da cobertura da Biblioteca Pública Municipal Sérgio Buarque de Holanda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Victório Santim, nº 44 - Itaquera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6025.2025/0007738-1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FC Comércio de Alimentos e Bebidas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Providências sobre Intervenção sem prévia autorização - Evento denominado Fazenda Churrascada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Avenida Francisco Matarazzo, nº 455 - Água Branca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3.3. </w:t>
      </w:r>
      <w:r>
        <w:rPr>
          <w:rFonts w:eastAsia="Calibri" w:cs="Calibri" w:ascii="Calibri" w:hAnsi="Calibri"/>
          <w:b/>
          <w:bCs/>
          <w:smallCaps/>
          <w:sz w:val="22"/>
          <w:szCs w:val="22"/>
          <w:shd w:fill="B2B2B2" w:val="clear"/>
        </w:rPr>
        <w:t>PROCESSOS PAUTADOS PARA A 827ª REUNIÃO ORDINÁRIA – RELATIVOS À APROVAÇÃO DE PROJETOS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 DE INTERVENÇÃO EM BENS PROTEGIDOS</w:t>
      </w:r>
    </w:p>
    <w:p>
      <w:pPr>
        <w:pStyle w:val="Normal"/>
        <w:rPr>
          <w:rFonts w:eastAsia="Calibri" w:cs="Calibri"/>
          <w:b/>
          <w:b/>
          <w:smallCaps/>
          <w:color w:val="FF0000"/>
          <w:kern w:val="0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6025.2023/0025445-0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Secretaria de Educação do Estado de São Paulo - SEDUC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Reforma e manutenção para a Escola Estadual Martim Francisco - antigo Grupo Escolar Vila Olímpia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Domingos Fernandes, nº 583 - Vila Nova Conceição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6025.2023/0015804-3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Protege S/A Proteção e Transporte de Valores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 xml:space="preserve">Pedido de restauro 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Marquês de Paranaguá, nº 124 - Consolação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6025.2024/0035380-8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Protege S/A Proteção e Transporte de Valores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Proposta de projeto paisagístico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Marquês de Paranaguá, nº 124 - Consolação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pageBreakBefore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6025.2023/0037768-3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 xml:space="preserve">Departamento do Patrimônio Histórico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Providências sobre Intervenção sem prévia autorização - Resolução 11/CONPRESP/2023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Cônego Eugênio Leite nº 808 e 814, Pinheiros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6025.2024/0021616-9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 xml:space="preserve">Departamento do Patrimônio Histórico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Providências sobre Intervenção sem prévia autorização - Resolução 11/CONPRESP/2023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Irmão Lucas 133, Pinheiros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6025.2024/0007700-2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URBIA Gestão de Parques SPE SA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alteração do cronograma e do local de instalação, bem como de permanencia por período adicional para a instalação temporária denominada "Urbia Store"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Parque do Ibirapuera, situado na Avenida Pedro Álvares Cabral, s/nº, no bairro Vila Mariana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6025.2025/0001646-3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Casa Madre Assunta Marchetti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manutenção e obras emergenciais na Casa Madre Assunta Marchetti, antigo Orphanato Cristóvam Colombo - Seção Feminina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do Orfanato, nºs 883 e 889 - Vila Prudente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6025.2024/0003175-4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Wilma Maria Abdalla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regularização de imóvel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Rua Barão de Jaceguai, nº 1.151 - Campo Belo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6025.2024/0030823-3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Celso Fernandes Campilongo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Pedido de reforma e restauro da Sala Arouche Rendon, que integra o edifício da Faculdade de Direito da USP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Largo São Francisco, nº 95 -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6011.2025/0002955-0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4"/>
              </w:rPr>
            </w:pPr>
            <w:r>
              <w:rPr>
                <w:spacing w:val="-4"/>
              </w:rPr>
              <w:t>SGM/Coordenadoria de Monitoramento e Avaliação de Parcerias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z w:val="24"/>
              </w:rPr>
              <w:t>Instalação de cafeteria nas dependências da Biblioteca Mário de Andrade</w:t>
            </w:r>
            <w:r>
              <w:rPr>
                <w:spacing w:val="-2"/>
              </w:rPr>
              <w:t xml:space="preserve"> 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spacing w:val="-2"/>
              </w:rPr>
            </w:pPr>
            <w:r>
              <w:rPr>
                <w:spacing w:val="-2"/>
              </w:rPr>
              <w:t>R. da Consolação, 94 - República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shd w:val="clear" w:color="auto" w:fill="B3B3B3"/>
        <w:spacing w:before="240" w:after="0"/>
        <w:rPr/>
      </w:pPr>
      <w:r>
        <w:rPr>
          <w:b/>
          <w:bCs/>
          <w:caps/>
        </w:rPr>
        <w:t xml:space="preserve">3.4. PROCESSOS PAUTADOS </w:t>
      </w:r>
      <w:r>
        <w:rPr>
          <w:b/>
          <w:bCs/>
        </w:rPr>
        <w:t xml:space="preserve">PARA A 827ª REUNIÃO ORDINÁRIA </w:t>
      </w:r>
      <w:r>
        <w:rPr>
          <w:b/>
          <w:bCs/>
          <w:caps/>
        </w:rPr>
        <w:t>–  Para CIÊNCIA</w:t>
      </w:r>
    </w:p>
    <w:p>
      <w:pPr>
        <w:pStyle w:val="Normal"/>
        <w:jc w:val="center"/>
        <w:rPr>
          <w:rFonts w:eastAsia="Calibri" w:cs="Calibri"/>
          <w:b/>
          <w:b/>
          <w:smallCaps/>
          <w:color w:val="C9211E"/>
          <w:kern w:val="0"/>
          <w:shd w:fill="B2B2B2" w:val="clear"/>
        </w:rPr>
      </w:pPr>
      <w:r>
        <w:rPr>
          <w:rFonts w:eastAsia="Calibri" w:cs="Calibri"/>
          <w:b/>
          <w:smallCaps/>
          <w:color w:val="C9211E"/>
          <w:kern w:val="0"/>
          <w:shd w:fill="B2B2B2" w:val="clear"/>
        </w:rPr>
      </w:r>
    </w:p>
    <w:p>
      <w:pPr>
        <w:pStyle w:val="Normal"/>
        <w:rPr>
          <w:rFonts w:cs="Calibri"/>
          <w:b/>
          <w:b/>
          <w:color w:val="auto"/>
        </w:rPr>
      </w:pPr>
      <w:r>
        <w:rPr>
          <w:rFonts w:cs="Calibri"/>
          <w:b/>
          <w:color w:val="auto"/>
        </w:rPr>
        <w:t>A deliberação dos processos listados abaixo ocorrerá após atualização da Resolução referente à Instalação de Antenas:</w:t>
      </w:r>
    </w:p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6025.2022/0008377-7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American Tower do Brasil -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Regularização de instalação de Estação Rádio-Base (E.R.B.) na cobertura de edifício localizado em Área Envoltória da Capela de São Miguel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Rua Mário Rodrigues Fon, 142 - São Miguel Paulista</w:t>
            </w:r>
          </w:p>
        </w:tc>
      </w:tr>
    </w:tbl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>PROCESSO: 6025.2022/0014255-2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  <w:t>American Tower do Brasil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  <w:t>Pedido de regularização da ERB - Estação Rádio Base implantada na cobertura do imóvel</w:t>
            </w:r>
          </w:p>
        </w:tc>
      </w:tr>
      <w:tr>
        <w:trPr>
          <w:trHeight w:val="408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  <w:t>Rua Direita, nº 114, esquina com o Largo da Misericórdia, nº 15 -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Forte1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6025.2022/0015924-2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Claro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Pedido de regularização da ERB - Estação Rádio Base implantada na cobertura do Edifício Alexandre Mackenzie, atualmente ocupado pelo Shopping Light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Rua Coronel Xavier de Toledo, nº 23 - República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Fonts w:eastAsia="Calibri" w:cs="Calibri" w:ascii="Calibri" w:hAnsi="Calibri"/>
          <w:b/>
          <w:smallCaps/>
          <w:sz w:val="22"/>
          <w:szCs w:val="22"/>
        </w:rPr>
        <w:t>EXTRAPAUTA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DOC 25/08/2025 – P. 60-61</w:t>
      </w:r>
    </w:p>
    <w:p>
      <w:pPr>
        <w:pStyle w:val="Normal"/>
        <w:rPr>
          <w:rFonts w:eastAsia="Calibri" w:cs="Calibri"/>
          <w:b/>
          <w:b/>
          <w:smallCaps/>
          <w:color w:val="C9211E"/>
          <w:kern w:val="0"/>
          <w:shd w:fill="B2B2B2" w:val="clear"/>
        </w:rPr>
      </w:pPr>
      <w:r>
        <w:rPr/>
      </w:r>
    </w:p>
    <w:sectPr>
      <w:headerReference w:type="default" r:id="rId3"/>
      <w:type w:val="nextPage"/>
      <w:pgSz w:w="11906" w:h="16838"/>
      <w:pgMar w:left="1134" w:right="902" w:header="1134" w:top="2499" w:footer="0" w:bottom="731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546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854710" cy="871855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0" t="-119" r="-140" b="-1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871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Forte1" w:customStyle="1">
    <w:name w:val="Forte1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5e7a4c"/>
    <w:rPr>
      <w:rFonts w:cs="Mangal"/>
      <w:color w:val="000000"/>
      <w:szCs w:val="21"/>
    </w:rPr>
  </w:style>
  <w:style w:type="character" w:styleId="LinkdaInternet" w:customStyle="1">
    <w:name w:val="Link da Internet"/>
    <w:basedOn w:val="DefaultParagraphFont"/>
    <w:uiPriority w:val="99"/>
    <w:unhideWhenUsed/>
    <w:rsid w:val="00e0491d"/>
    <w:rPr>
      <w:color w:val="0563C1" w:themeColor="hyperlink"/>
      <w:u w:val="single"/>
    </w:rPr>
  </w:style>
  <w:style w:type="character" w:styleId="Nfaseforte" w:customStyle="1">
    <w:name w:val="Ênfase forte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uiPriority w:val="34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 w:customStyle="1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  <w:style w:type="paragraph" w:styleId="LOnormal15" w:customStyle="1">
    <w:name w:val="LO-normal1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LibreOffice/7.1.7.2$Windows_X86_64 LibreOffice_project/c6a4e3954236145e2acb0b65f68614365aeee33f</Application>
  <AppVersion>15.0000</AppVersion>
  <Pages>4</Pages>
  <Words>881</Words>
  <Characters>5432</Characters>
  <CharactersWithSpaces>6176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2025-08-25T17:06:00Z</dcterms:created>
  <dc:creator>mana.arqdesign@outlook.com</dc:creator>
  <dc:description/>
  <dc:language>pt-BR</dc:language>
  <cp:lastModifiedBy/>
  <cp:lastPrinted>2025-08-25T17:04:00Z</cp:lastPrinted>
  <dcterms:modified xsi:type="dcterms:W3CDTF">2025-08-25T14:31:46Z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