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829ª REUNIÃO ORDINÁRIA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Data: 13/10/2025 - 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</w:t>
      </w: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 xml:space="preserve"> – 1º andar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>A reunião também poderá ser acompanhada pelo YouTube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2"/>
          <w:szCs w:val="22"/>
          <w:shd w:fill="FFFF00" w:val="clear"/>
        </w:rPr>
      </w:pPr>
      <w:r>
        <w:rPr>
          <w:rFonts w:eastAsia="Calibri" w:cs="Calibri" w:ascii="Calibri" w:hAnsi="Calibri"/>
          <w:b/>
          <w:sz w:val="22"/>
          <w:szCs w:val="22"/>
          <w:shd w:fill="FFFF00" w:val="clear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sz w:val="22"/>
          <w:szCs w:val="22"/>
        </w:rPr>
        <w:t xml:space="preserve">deverão apresentar manifestação através de aviso pelo e-mail </w:t>
      </w:r>
      <w:hyperlink r:id="rId2" w:tgtFrame="_top">
        <w:r>
          <w:rPr>
            <w:rStyle w:val="Hyperlink1"/>
            <w:rFonts w:eastAsia="Calibri" w:cs="Calibri" w:ascii="Calibri" w:hAnsi="Calibri"/>
            <w:color w:val="000000"/>
            <w:sz w:val="22"/>
            <w:szCs w:val="22"/>
          </w:rPr>
          <w:t>conpresp@prefeitura.sp.gov.br</w:t>
        </w:r>
      </w:hyperlink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z w:val="22"/>
          <w:szCs w:val="22"/>
        </w:rPr>
        <w:t xml:space="preserve">e </w:t>
      </w:r>
      <w:r>
        <w:rPr>
          <w:rFonts w:eastAsia="Calibri" w:cs="Calibri" w:ascii="Calibri" w:hAnsi="Calibri"/>
          <w:sz w:val="22"/>
          <w:szCs w:val="22"/>
        </w:rPr>
        <w:t>antes do início da reunião, preenchendo um formulário específico fornecido pela secretária executiva do CONPRESP.</w:t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“</w:t>
      </w:r>
      <w:r>
        <w:rPr>
          <w:rFonts w:eastAsia="Calibri" w:cs="Calibri" w:ascii="Calibri" w:hAnsi="Calibri"/>
          <w:b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17h00 do último dia útil anterior à data da reunião, através do e-mail </w:t>
      </w:r>
      <w:r>
        <w:rPr>
          <w:rFonts w:eastAsia="Calibri" w:cs="Calibri" w:ascii="Calibri" w:hAnsi="Calibri"/>
          <w:i/>
          <w:sz w:val="22"/>
          <w:szCs w:val="22"/>
        </w:rPr>
        <w:t>conpresp@prefeitura.sp.gov.br</w:t>
      </w:r>
      <w:r>
        <w:rPr>
          <w:rFonts w:eastAsia="Calibri" w:cs="Calibri" w:ascii="Calibri" w:hAnsi="Calibri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2. Comunicações / Informes:</w:t>
      </w:r>
    </w:p>
    <w:p>
      <w:pPr>
        <w:pStyle w:val="LOnormal"/>
        <w:spacing w:before="113" w:after="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 xml:space="preserve">2.1. </w:t>
      </w:r>
      <w:r>
        <w:rPr>
          <w:rFonts w:eastAsia="Calibri" w:cs="Calibri" w:ascii="Calibri" w:hAnsi="Calibri"/>
          <w:sz w:val="22"/>
          <w:szCs w:val="22"/>
          <w:shd w:fill="FFFFFF" w:val="clear"/>
        </w:rPr>
        <w:t>Ata</w:t>
      </w:r>
      <w:r>
        <w:rPr>
          <w:rFonts w:eastAsia="Calibri" w:cs="Calibri" w:ascii="Calibri" w:hAnsi="Calibri"/>
          <w:spacing w:val="-5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/>
          <w:sz w:val="22"/>
          <w:szCs w:val="22"/>
          <w:shd w:fill="FFFFFF" w:val="clear"/>
        </w:rPr>
        <w:t>da</w:t>
      </w:r>
      <w:r>
        <w:rPr>
          <w:rFonts w:eastAsia="Calibri" w:cs="Calibri" w:ascii="Calibri" w:hAnsi="Calibri"/>
          <w:spacing w:val="-3"/>
          <w:sz w:val="22"/>
          <w:szCs w:val="22"/>
          <w:shd w:fill="FFFFFF" w:val="clear"/>
        </w:rPr>
        <w:t xml:space="preserve"> </w:t>
      </w:r>
      <w:r>
        <w:rPr>
          <w:rFonts w:eastAsia="Calibri" w:cs="Calibri" w:ascii="Calibri" w:hAnsi="Calibri"/>
          <w:sz w:val="22"/>
          <w:szCs w:val="22"/>
          <w:shd w:fill="FFFFFF" w:val="clear"/>
        </w:rPr>
        <w:t>reunião anterior realizada em 15/09/2025</w:t>
      </w:r>
      <w:r>
        <w:rPr>
          <w:rFonts w:eastAsia="Calibri" w:cs="Calibri" w:ascii="Calibri" w:hAnsi="Calibri"/>
          <w:spacing w:val="-2"/>
          <w:sz w:val="22"/>
          <w:szCs w:val="22"/>
          <w:shd w:fill="FFFFFF" w:val="clear"/>
        </w:rPr>
        <w:t>.</w:t>
      </w:r>
    </w:p>
    <w:p>
      <w:pPr>
        <w:pStyle w:val="Corpodotexto"/>
        <w:ind w:left="709" w:hanging="0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3. Leitura, discussão e decisão dos seguintes processos e expedientes:</w:t>
      </w:r>
    </w:p>
    <w:p>
      <w:pPr>
        <w:pStyle w:val="Normal"/>
        <w:spacing w:lineRule="auto" w:line="360"/>
        <w:ind w:left="737" w:hang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>Processos pautados em reuniões anteriores,</w:t>
      </w:r>
      <w:r>
        <w:rPr>
          <w:b/>
          <w:bCs/>
          <w:color w:val="000000"/>
          <w:sz w:val="22"/>
          <w:szCs w:val="22"/>
        </w:rPr>
        <w:t xml:space="preserve"> PENDENTES</w:t>
      </w:r>
      <w:r>
        <w:rPr>
          <w:color w:val="000000"/>
          <w:sz w:val="22"/>
          <w:szCs w:val="22"/>
        </w:rPr>
        <w:t xml:space="preserve"> de deliberação - relativos a </w:t>
      </w:r>
      <w:r>
        <w:rPr>
          <w:b/>
          <w:bCs/>
          <w:color w:val="000000"/>
          <w:sz w:val="22"/>
          <w:szCs w:val="22"/>
        </w:rPr>
        <w:t>TOMBAMENTO</w:t>
      </w:r>
    </w:p>
    <w:p>
      <w:pPr>
        <w:pStyle w:val="Normal"/>
        <w:spacing w:lineRule="auto" w:line="360"/>
        <w:ind w:left="737" w:hanging="0"/>
        <w:rPr/>
      </w:pPr>
      <w:r>
        <w:rPr>
          <w:b/>
          <w:bCs/>
          <w:color w:val="000000"/>
          <w:sz w:val="22"/>
          <w:szCs w:val="22"/>
        </w:rPr>
        <w:t xml:space="preserve">3.2. </w:t>
      </w:r>
      <w:r>
        <w:rPr>
          <w:color w:val="000000"/>
          <w:sz w:val="22"/>
          <w:szCs w:val="22"/>
        </w:rPr>
        <w:t>Processos pautados para a</w:t>
      </w:r>
      <w:r>
        <w:rPr>
          <w:b/>
          <w:bCs/>
          <w:color w:val="000000"/>
          <w:sz w:val="22"/>
          <w:szCs w:val="22"/>
        </w:rPr>
        <w:t xml:space="preserve"> 829ª REUNIÃO ORDINÁRIA </w:t>
      </w:r>
      <w:r>
        <w:rPr>
          <w:color w:val="000000"/>
          <w:sz w:val="22"/>
          <w:szCs w:val="22"/>
        </w:rPr>
        <w:t xml:space="preserve">– Relativos a </w:t>
      </w:r>
      <w:r>
        <w:rPr>
          <w:rStyle w:val="Nfaseforte"/>
          <w:rFonts w:eastAsia="NSimSun" w:cs="Lucida Sans"/>
          <w:b/>
          <w:bCs/>
          <w:i w:val="false"/>
          <w:caps w:val="false"/>
          <w:smallCaps w:val="false"/>
          <w:color w:val="000000"/>
          <w:kern w:val="2"/>
          <w:sz w:val="22"/>
          <w:szCs w:val="22"/>
          <w:lang w:val="pt-BR" w:eastAsia="zh-CN" w:bidi="hi-IN"/>
        </w:rPr>
        <w:t>SELO DE VALOR CULTURAL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kern w:val="2"/>
          <w:sz w:val="22"/>
          <w:szCs w:val="22"/>
          <w:lang w:val="pt-BR" w:eastAsia="zh-CN" w:bidi="hi-IN"/>
        </w:rPr>
        <w:t>.</w:t>
      </w:r>
      <w:r>
        <w:rPr>
          <w:rFonts w:eastAsia="NSimSun" w:cs="Lucida Sans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</w:p>
    <w:p>
      <w:pPr>
        <w:pStyle w:val="Normal"/>
        <w:spacing w:lineRule="auto" w:line="360"/>
        <w:ind w:left="737" w:hang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3.3.</w:t>
      </w:r>
      <w:r>
        <w:rPr>
          <w:color w:val="000000"/>
          <w:sz w:val="22"/>
          <w:szCs w:val="22"/>
        </w:rPr>
        <w:t xml:space="preserve"> Processos pautados em reuniões anteriores, </w:t>
      </w:r>
      <w:r>
        <w:rPr>
          <w:b/>
          <w:bCs/>
          <w:color w:val="000000"/>
          <w:sz w:val="22"/>
          <w:szCs w:val="22"/>
        </w:rPr>
        <w:t xml:space="preserve">PENDENTES </w:t>
      </w:r>
      <w:r>
        <w:rPr>
          <w:color w:val="000000"/>
          <w:sz w:val="22"/>
          <w:szCs w:val="22"/>
        </w:rPr>
        <w:t xml:space="preserve">de deliberação – Relativos à aprovação de projetos de </w:t>
      </w:r>
      <w:r>
        <w:rPr>
          <w:b/>
          <w:bCs/>
          <w:color w:val="000000"/>
          <w:sz w:val="22"/>
          <w:szCs w:val="22"/>
        </w:rPr>
        <w:t xml:space="preserve">INTERVENÇÃO </w:t>
      </w:r>
      <w:r>
        <w:rPr>
          <w:color w:val="000000"/>
          <w:sz w:val="22"/>
          <w:szCs w:val="22"/>
        </w:rPr>
        <w:t>em bens protegidos</w:t>
      </w:r>
    </w:p>
    <w:p>
      <w:pPr>
        <w:pStyle w:val="Normal"/>
        <w:spacing w:lineRule="auto" w:line="360"/>
        <w:ind w:left="737" w:hang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3.4. </w:t>
      </w:r>
      <w:r>
        <w:rPr>
          <w:color w:val="000000"/>
          <w:sz w:val="22"/>
          <w:szCs w:val="22"/>
        </w:rPr>
        <w:t xml:space="preserve">Processos pautados para a </w:t>
      </w:r>
      <w:r>
        <w:rPr>
          <w:b/>
          <w:bCs/>
          <w:color w:val="000000"/>
          <w:sz w:val="22"/>
          <w:szCs w:val="22"/>
        </w:rPr>
        <w:t xml:space="preserve">829ª REUNIÃO ORDINÁRIA </w:t>
      </w:r>
      <w:r>
        <w:rPr>
          <w:color w:val="000000"/>
          <w:sz w:val="22"/>
          <w:szCs w:val="22"/>
        </w:rPr>
        <w:t xml:space="preserve">– Relativos à aprovação de projetos de </w:t>
      </w:r>
      <w:r>
        <w:rPr>
          <w:b/>
          <w:bCs/>
          <w:color w:val="000000"/>
          <w:sz w:val="22"/>
          <w:szCs w:val="22"/>
        </w:rPr>
        <w:t xml:space="preserve">INTERVENÇÃO </w:t>
      </w:r>
      <w:r>
        <w:rPr>
          <w:color w:val="000000"/>
          <w:sz w:val="22"/>
          <w:szCs w:val="22"/>
        </w:rPr>
        <w:t>em bens protegidos</w:t>
      </w:r>
    </w:p>
    <w:p>
      <w:pPr>
        <w:pStyle w:val="Normal"/>
        <w:spacing w:lineRule="auto" w:line="360"/>
        <w:ind w:left="737" w:hang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LOnormal"/>
        <w:spacing w:before="0" w:after="12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4. Temas gerais / Extrapauta:</w:t>
      </w:r>
    </w:p>
    <w:p>
      <w:pPr>
        <w:pStyle w:val="LOnormal"/>
        <w:spacing w:before="0" w:after="120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  <w:r>
        <w:br w:type="page"/>
      </w:r>
    </w:p>
    <w:p>
      <w:pPr>
        <w:pStyle w:val="Normal"/>
        <w:shd w:val="clear" w:color="auto" w:fill="B3B3B3"/>
        <w:tabs>
          <w:tab w:val="clear" w:pos="720"/>
          <w:tab w:val="left" w:pos="0" w:leader="none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eastAsia="Calibri" w:cs="Calibri"/>
          <w:b/>
          <w:bCs/>
          <w:smallCaps/>
          <w:kern w:val="0"/>
          <w:sz w:val="22"/>
          <w:szCs w:val="22"/>
          <w:shd w:fill="B2B2B2" w:val="clear"/>
        </w:rPr>
        <w:t>3.1. PROCESSOS PAUTADOS EM REUNIÕES ANTERIORES, PENDENTES DE DELIBERAÇÃO – RELATIVOS À TOMBAMENTO</w:t>
      </w:r>
    </w:p>
    <w:p>
      <w:pPr>
        <w:pStyle w:val="Normal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2006-0.267.971-7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Cintia Ema Padovan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Tombamento de Vila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Avenida Conselheiro Rodrigues Alves, nºs. 275, 281 e 289 - Casas 1 a 07 - Vila Mariana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6025.2024/0005682-0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DPH/Núcleo de Identificação e Tombamento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Tombamento definitivo do Templo Espiritualista de Umbanda São Benedito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Rua Alves Guimarães, nº 940 - Pinheiros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Normal"/>
        <w:shd w:val="clear" w:color="auto" w:fill="B3B3B3"/>
        <w:tabs>
          <w:tab w:val="clear" w:pos="720"/>
          <w:tab w:val="left" w:pos="0" w:leader="none"/>
        </w:tabs>
        <w:spacing w:before="0" w:after="120"/>
        <w:rPr>
          <w:rFonts w:ascii="Calibri" w:hAnsi="Calibri"/>
          <w:sz w:val="22"/>
          <w:szCs w:val="22"/>
        </w:rPr>
      </w:pPr>
      <w:r>
        <w:rPr>
          <w:rFonts w:eastAsia="Calibri" w:cs="Calibri"/>
          <w:b/>
          <w:bCs/>
          <w:smallCaps/>
          <w:kern w:val="0"/>
          <w:sz w:val="22"/>
          <w:szCs w:val="22"/>
          <w:shd w:fill="B2B2B2" w:val="clear"/>
        </w:rPr>
        <w:t xml:space="preserve">3.2. PROCESSOS PAUTADOS </w:t>
      </w:r>
      <w:r>
        <w:rPr>
          <w:rFonts w:eastAsia="Calibri" w:cs="Calibri"/>
          <w:b/>
          <w:bCs/>
          <w:smallCaps/>
          <w:sz w:val="22"/>
          <w:szCs w:val="22"/>
          <w:shd w:fill="B2B2B2" w:val="clear"/>
        </w:rPr>
        <w:t>PARA A 829ª REUNIÃO ORDINÁRIA -</w:t>
      </w:r>
      <w:r>
        <w:rPr>
          <w:rFonts w:eastAsia="Calibri" w:cs="Calibri"/>
          <w:b/>
          <w:bCs/>
          <w:smallCaps/>
          <w:kern w:val="0"/>
          <w:sz w:val="22"/>
          <w:szCs w:val="22"/>
          <w:shd w:fill="B2B2B2" w:val="clear"/>
        </w:rPr>
        <w:t xml:space="preserve"> RELATIVOS A SELO DE VALOR CULTURAL</w:t>
      </w:r>
    </w:p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PROCESSO: </w:t>
            </w:r>
            <w:r>
              <w:rPr>
                <w:rStyle w:val="Forte1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6025.2021/0017674-9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Associação Ballet Paraisópolis / Monica Andreatta Tarragó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Selo de Valor Cultural da Cidade de São Paulo para o Ballet Paraisópolis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Major José Marioto Ferreira, nº 12 B - Paraisópolis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6025.2023/0006972-5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Gelson Batista dos Santos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Selo de Valor Cultural da Cidade de São Paulo para a Charutaria Bruno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Cantareira, nº 306 – Box 12 da Rua E - Mercado Municipal de São Paulo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6025.2025/0020978-4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DPH/Núcleo de Identificação e Tombamento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Selo de Valor Cultural da Cidade de São Paulo para 39 estabelecimentos</w:t>
            </w:r>
          </w:p>
        </w:tc>
      </w:tr>
      <w:tr>
        <w:trPr>
          <w:trHeight w:val="420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57"/>
              <w:ind w:right="120" w:hanging="0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Diversos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>3.3. PROCESSOS PAUTADOS EM REUNIÕES ANTERIORES, PENDENTES DE DELIBERAÇÃO – RELATIVOS À APROVAÇÃO DE PROJETOS DE INTERVENÇÃO EM BENS PROTEGIDOS</w:t>
      </w:r>
    </w:p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PROCESSO: </w:t>
            </w:r>
            <w:r>
              <w:rPr>
                <w:rStyle w:val="Forte1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6025.2021/0007145-9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João Bordignon Neto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diligência – Recurso contra decisão do CONPRESP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Conselheiro Crispiniano, nº 29 - Centro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  <w:r>
        <w:br w:type="page"/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pageBreakBefore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6025.2025/0007738-1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FC Comércio de Alimentos e Bebidas S/A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Providências sobre Intervenção sem prévia autorização - Evento denominado Fazenda Churrascada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Avenida Francisco Matarazzo, nº 455 - Água Branca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C9211E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C9211E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6025.2024/0007700-2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URBIA Gestão de Parques SPE SA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Pedido de alteração do cronograma e do local de instalação, bem como de permanência por período adicional para a instalação temporária denominada "Urbia Store" no Parque do Ibirapuera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Avenida Pedro Álvares Cabral, s/nº - Vila Mariana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p>
      <w:pPr>
        <w:pStyle w:val="LOnormal"/>
        <w:shd w:val="clear" w:color="auto" w:fill="B3B3B3"/>
        <w:tabs>
          <w:tab w:val="clear" w:pos="720"/>
          <w:tab w:val="left" w:pos="0" w:leader="none"/>
        </w:tabs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3.4. </w:t>
      </w:r>
      <w:r>
        <w:rPr>
          <w:rFonts w:eastAsia="Calibri" w:cs="Calibri" w:ascii="Calibri" w:hAnsi="Calibri"/>
          <w:b/>
          <w:bCs/>
          <w:smallCaps/>
          <w:sz w:val="22"/>
          <w:szCs w:val="22"/>
          <w:shd w:fill="B2B2B2" w:val="clear"/>
        </w:rPr>
        <w:t>PROCESSOS PAUTADOS PARA A 829ª REUNIÃO ORDINÁRIA – RELATIVOS À APROVAÇÃO DE PROJETOS</w:t>
      </w: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 DE INTERVENÇÃO EM BENS PROTEGIDOS</w:t>
      </w:r>
    </w:p>
    <w:p>
      <w:pPr>
        <w:pStyle w:val="Normal"/>
        <w:rPr>
          <w:rFonts w:ascii="Calibri" w:hAnsi="Calibri" w:eastAsia="Calibri" w:cs="Calibri"/>
          <w:b/>
          <w:b/>
          <w:smallCaps/>
          <w:color w:val="FF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FF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FF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PROCESSO: </w:t>
            </w:r>
            <w:r>
              <w:rPr>
                <w:rStyle w:val="Forte1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6510.2025/0001949-3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FF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Subprefeitura da Mooca - Coordenadoria de Planejamento e Desenvolvimento Urbano / Instituto Nacional do Seguro Social (INSS)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FF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-4"/>
                <w:sz w:val="22"/>
                <w:szCs w:val="22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4"/>
                <w:sz w:val="22"/>
                <w:szCs w:val="22"/>
                <w:shd w:fill="FFFFFF" w:val="clear"/>
              </w:rPr>
              <w:t>Má conservação do bem tombado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FF0000"/>
                <w:sz w:val="22"/>
                <w:szCs w:val="22"/>
              </w:rPr>
            </w:pPr>
            <w:r>
              <w:rPr>
                <w:rFonts w:cs="Calibri" w:cstheme="minorHAnsi"/>
                <w:color w:val="FF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Irmã Paula Loebenstein, ao lado do nº 89 - Vila Maria Zélia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FF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FF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 6025.2022/0023106-7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QMC Telecom do Brasil Cessão de Infraestrutura SA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Pedido de regularização da Estação Rádio Base - ERB, implantada na cobertura do Edifício Monterrey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Rua Joaquim Antunes, nº 148 - Pinheiros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 xml:space="preserve">PROCESSO: </w:t>
            </w:r>
            <w:r>
              <w:rPr>
                <w:rStyle w:val="Nfaseforte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>6025.2024/0036110-0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4"/>
                <w:sz w:val="22"/>
                <w:szCs w:val="22"/>
              </w:rPr>
              <w:t>Museu de Arte de São Paulo Assis Chateaubriand - MASP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2"/>
                <w:sz w:val="22"/>
                <w:szCs w:val="22"/>
              </w:rPr>
              <w:t>Pedido de obras emergenciais, visando a recuperação estrutural da escada de acesso ao primeiro pavimento do Museu de Arte de São Paulo Assis Chateaubriand - MASP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2"/>
                <w:sz w:val="22"/>
                <w:szCs w:val="22"/>
              </w:rPr>
              <w:t>Avenida Paulista, nº 1578 - Bela Vista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>
                <w:rStyle w:val="Forte1"/>
                <w:rFonts w:eastAsia="Times New Roman" w:cs="Calibri" w:cstheme="minorHAnsi"/>
                <w:kern w:val="0"/>
                <w:lang w:bidi="ar-SA"/>
              </w:rPr>
            </w:pPr>
            <w:r>
              <w:rPr>
                <w:rStyle w:val="Forte1"/>
                <w:rFonts w:eastAsia="Times New Roman" w:cs="Calibri" w:cstheme="minorHAnsi"/>
                <w:kern w:val="0"/>
                <w:sz w:val="22"/>
                <w:szCs w:val="22"/>
                <w:lang w:bidi="ar-SA"/>
              </w:rPr>
              <w:t>PROCESSO:</w:t>
            </w:r>
            <w:r>
              <w:rPr>
                <w:rStyle w:val="Nfaseforte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>6025.2025/0008405-1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4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4"/>
                <w:sz w:val="22"/>
                <w:szCs w:val="22"/>
              </w:rPr>
              <w:t>Chung Wei Luang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sz w:val="22"/>
                <w:szCs w:val="22"/>
              </w:rPr>
            </w:pPr>
            <w:r>
              <w:rPr>
                <w:rFonts w:cs="Calibri" w:cstheme="minorHAnsi"/>
                <w:b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2"/>
                <w:sz w:val="22"/>
                <w:szCs w:val="22"/>
              </w:rPr>
              <w:t>Pedido de construção nova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spacing w:val="-2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2"/>
                <w:sz w:val="22"/>
                <w:szCs w:val="22"/>
              </w:rPr>
              <w:t>Rua João Passalaqua, nºs 186 e 194 - Bela Vista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  <w:r>
        <w:br w:type="page"/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pageBreakBefore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>PROCESSO</w:t>
            </w: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: </w:t>
            </w:r>
            <w:r>
              <w:rPr>
                <w:rStyle w:val="Forte1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6025.2023/0021647-7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Helton José Góes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restauro na Casa Geral dos Religiosos de Nossa Senhora de Sion, em atendimento ao Termo de Compromisso nº 006/2020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Xavier Curado, nº 42 - Ipiranga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PROCESSO: </w:t>
            </w:r>
            <w:r>
              <w:rPr>
                <w:rStyle w:val="Forte1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6025.2024/0036975-5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Valéria Alves Cruz Vilela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obras emergenciais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Higienópolis, nº 462 - Higienópolis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>PROCESS</w:t>
            </w: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O: </w:t>
            </w:r>
            <w:r>
              <w:rPr>
                <w:rStyle w:val="Forte1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6025.2023/0018422-2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Teresa Cristina Pisani Domiciano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instalação de sistema fotovoltáico de energia na cobertura do Colégio Santa Inês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Três Rios, nº 362 - Bom Retiro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PROCESSO: </w:t>
            </w:r>
            <w:r>
              <w:rPr>
                <w:rStyle w:val="Nfaseforte"/>
                <w:rFonts w:eastAsia="Times New Roman" w:cs="Calibri" w:cstheme="minorHAnsi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pt-BR" w:eastAsia="zh-CN" w:bidi="ar-SA"/>
              </w:rPr>
              <w:t>6025.2025/0010967-4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Coletivo Zeeni Ltda - Guilherme Magalhães Rigó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– Pedido de Evento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color w:val="000000"/>
                <w:spacing w:val="0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Chico Pontes, nº 1.500 - Vila Guilherme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00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000000"/>
          <w:kern w:val="0"/>
          <w:sz w:val="22"/>
          <w:szCs w:val="22"/>
          <w:shd w:fill="B2B2B2" w:val="clear"/>
        </w:rPr>
      </w:r>
    </w:p>
    <w:tbl>
      <w:tblPr>
        <w:tblW w:w="981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26"/>
        <w:gridCol w:w="1703"/>
        <w:gridCol w:w="7281"/>
      </w:tblGrid>
      <w:tr>
        <w:trPr>
          <w:trHeight w:val="261" w:hRule="atLeast"/>
          <w:cantSplit w:val="true"/>
        </w:trPr>
        <w:tc>
          <w:tcPr>
            <w:tcW w:w="826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8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2B2B2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Forte1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PROCESSO: </w:t>
            </w:r>
            <w:r>
              <w:rPr>
                <w:rStyle w:val="Nfaseforte"/>
                <w:rFonts w:eastAsia="Times New Roman" w:cs="Calibri" w:cstheme="minorHAnsi"/>
                <w:color w:val="000000"/>
                <w:kern w:val="0"/>
                <w:sz w:val="22"/>
                <w:szCs w:val="22"/>
                <w:lang w:bidi="ar-SA"/>
              </w:rPr>
              <w:t>6025.2024/0016714-1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pacing w:val="-4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4"/>
                <w:sz w:val="22"/>
                <w:szCs w:val="22"/>
              </w:rPr>
              <w:t>Márcio Novaes Coelho Júnior</w:t>
            </w:r>
          </w:p>
        </w:tc>
      </w:tr>
      <w:tr>
        <w:trPr>
          <w:trHeight w:val="347" w:hRule="atLeast"/>
          <w:cantSplit w:val="true"/>
        </w:trPr>
        <w:tc>
          <w:tcPr>
            <w:tcW w:w="82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b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2"/>
                <w:sz w:val="22"/>
                <w:szCs w:val="22"/>
              </w:rPr>
              <w:t>Pedido de manutenção e reforma para a Casa do Diretor localizada no Parque Estadual das Fontes do Ipiranga / Parque da Água Funda</w:t>
            </w:r>
          </w:p>
        </w:tc>
      </w:tr>
      <w:tr>
        <w:trPr>
          <w:trHeight w:val="369" w:hRule="atLeast"/>
          <w:cantSplit w:val="true"/>
        </w:trPr>
        <w:tc>
          <w:tcPr>
            <w:tcW w:w="82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cstheme="minorHAnsi"/>
                <w:color w:val="000000"/>
                <w:sz w:val="22"/>
                <w:szCs w:val="22"/>
              </w:rPr>
            </w:pPr>
            <w:r>
              <w:rPr>
                <w:rFonts w:cs="Calibri" w:cstheme="minorHAnsi"/>
                <w:color w:val="000000"/>
                <w:sz w:val="22"/>
                <w:szCs w:val="22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-2"/>
                <w:sz w:val="22"/>
                <w:szCs w:val="22"/>
              </w:rPr>
              <w:t>Avenida Miguel Estefano, nº 3687 - Vila Guarani</w:t>
            </w:r>
          </w:p>
        </w:tc>
      </w:tr>
    </w:tbl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FF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FF0000"/>
          <w:kern w:val="0"/>
          <w:sz w:val="22"/>
          <w:szCs w:val="22"/>
          <w:shd w:fill="B2B2B2" w:val="clear"/>
        </w:rPr>
      </w:r>
    </w:p>
    <w:p>
      <w:pPr>
        <w:pStyle w:val="Normal"/>
        <w:jc w:val="left"/>
        <w:rPr>
          <w:rFonts w:ascii="Calibri" w:hAnsi="Calibri" w:eastAsia="Calibri" w:cs="Calibri"/>
          <w:b/>
          <w:b/>
          <w:smallCaps/>
          <w:color w:val="FF0000"/>
          <w:kern w:val="0"/>
          <w:sz w:val="22"/>
          <w:szCs w:val="22"/>
          <w:shd w:fill="B2B2B2" w:val="clear"/>
        </w:rPr>
      </w:pPr>
      <w:r>
        <w:rPr>
          <w:rFonts w:eastAsia="Calibri" w:cs="Calibri"/>
          <w:b/>
          <w:smallCaps/>
          <w:color w:val="FF0000"/>
          <w:kern w:val="0"/>
          <w:sz w:val="22"/>
          <w:szCs w:val="22"/>
          <w:shd w:fill="B2B2B2" w:val="clear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sz w:val="22"/>
          <w:szCs w:val="22"/>
        </w:rPr>
        <w:t xml:space="preserve">4.  </w:t>
      </w:r>
      <w:r>
        <w:rPr>
          <w:rFonts w:eastAsia="Calibri" w:cs="Calibri" w:ascii="Calibri" w:hAnsi="Calibri"/>
          <w:b/>
          <w:smallCaps/>
          <w:sz w:val="22"/>
          <w:szCs w:val="22"/>
        </w:rPr>
        <w:t>TEMAS GERAIS/EXTRAPAUTA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rPr>
          <w:rFonts w:ascii="Calibri" w:hAnsi="Calibri"/>
          <w:sz w:val="22"/>
          <w:szCs w:val="22"/>
        </w:rPr>
      </w:pPr>
      <w:r>
        <w:rPr/>
      </w:r>
    </w:p>
    <w:p>
      <w:pPr>
        <w:pStyle w:val="Normal"/>
        <w:rPr>
          <w:rFonts w:ascii="Calibri" w:hAnsi="Calibri"/>
          <w:sz w:val="22"/>
          <w:szCs w:val="22"/>
        </w:rPr>
      </w:pPr>
      <w:r>
        <w:rPr/>
        <w:t>DOC 06/10/2025 – P. 67-68</w:t>
      </w:r>
    </w:p>
    <w:sectPr>
      <w:headerReference w:type="default" r:id="rId3"/>
      <w:type w:val="nextPage"/>
      <w:pgSz w:w="11906" w:h="16838"/>
      <w:pgMar w:left="1134" w:right="902" w:header="1134" w:top="2499" w:footer="0" w:bottom="731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0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17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546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854710" cy="871855"/>
                <wp:effectExtent l="0" t="0" r="0" b="0"/>
                <wp:wrapSquare wrapText="bothSides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0" t="-119" r="-140" b="-1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71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Normal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56"/>
        <w:i w:val="false"/>
        <w:b/>
        <w:szCs w:val="56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Calibri" w:hAnsi="Calibri" w:eastAsia="NSimSun" w:cs="Lucida Sans"/>
      <w:color w:val="000000"/>
      <w:kern w:val="2"/>
      <w:sz w:val="22"/>
      <w:szCs w:val="22"/>
      <w:lang w:val="pt-BR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1" w:customStyle="1">
    <w:name w:val="Hyperlink1"/>
    <w:basedOn w:val="DefaultParagraphFont"/>
    <w:qFormat/>
    <w:rPr>
      <w:color w:val="0563C1"/>
      <w:u w:val="single"/>
    </w:rPr>
  </w:style>
  <w:style w:type="character" w:styleId="Forte1" w:customStyle="1">
    <w:name w:val="Forte1"/>
    <w:qFormat/>
    <w:rPr>
      <w:b/>
      <w:bCs/>
    </w:rPr>
  </w:style>
  <w:style w:type="character" w:styleId="Forte2" w:customStyle="1">
    <w:name w:val="Forte2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WWCharLFO2LVL1" w:customStyle="1">
    <w:name w:val="WW_CharLFO2LVL1"/>
    <w:qFormat/>
    <w:rPr>
      <w:rFonts w:ascii="Calibri" w:hAnsi="Calibri" w:eastAsia="Calibri" w:cs="Calibri"/>
      <w:b/>
      <w:i w:val="false"/>
      <w:color w:val="000000"/>
      <w:sz w:val="56"/>
      <w:szCs w:val="56"/>
    </w:rPr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character" w:styleId="RodapChar" w:customStyle="1">
    <w:name w:val="Rodapé Char"/>
    <w:basedOn w:val="DefaultParagraphFont"/>
    <w:link w:val="Rodap"/>
    <w:uiPriority w:val="99"/>
    <w:qFormat/>
    <w:rsid w:val="005e7a4c"/>
    <w:rPr>
      <w:rFonts w:cs="Mangal"/>
      <w:color w:val="000000"/>
      <w:szCs w:val="21"/>
    </w:rPr>
  </w:style>
  <w:style w:type="character" w:styleId="LinkdaInternet" w:customStyle="1">
    <w:name w:val="Link da Internet"/>
    <w:basedOn w:val="DefaultParagraphFont"/>
    <w:uiPriority w:val="99"/>
    <w:unhideWhenUsed/>
    <w:rsid w:val="00e0491d"/>
    <w:rPr>
      <w:color w:val="0563C1" w:themeColor="hyperlink"/>
      <w:u w:val="single"/>
    </w:rPr>
  </w:style>
  <w:style w:type="character" w:styleId="Nfaseforte" w:customStyle="1">
    <w:name w:val="Ênfase forte"/>
    <w:qFormat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000000"/>
      <w:kern w:val="2"/>
      <w:sz w:val="24"/>
      <w:szCs w:val="24"/>
      <w:lang w:val="pt-BR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NSimSun" w:cs="Lucida Sans"/>
      <w:color w:val="000000"/>
      <w:kern w:val="0"/>
      <w:sz w:val="20"/>
      <w:szCs w:val="20"/>
      <w:lang w:val="pt-BR" w:eastAsia="zh-CN" w:bidi="hi-IN"/>
    </w:rPr>
  </w:style>
  <w:style w:type="paragraph" w:styleId="Ttulo31" w:customStyle="1">
    <w:name w:val="Título 31"/>
    <w:basedOn w:val="LOnormal"/>
    <w:next w:val="LOnormal"/>
    <w:qFormat/>
    <w:pPr>
      <w:keepNext w:val="true"/>
      <w:outlineLvl w:val="2"/>
    </w:pPr>
    <w:rPr>
      <w:rFonts w:ascii="Arial" w:hAnsi="Arial" w:eastAsia="Arial" w:cs="Arial"/>
      <w:sz w:val="24"/>
    </w:rPr>
  </w:style>
  <w:style w:type="paragraph" w:styleId="ListParagraph">
    <w:name w:val="List Paragraph"/>
    <w:basedOn w:val="LOnormal"/>
    <w:uiPriority w:val="34"/>
    <w:qFormat/>
    <w:pPr>
      <w:ind w:left="708" w:hanging="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Normal"/>
    <w:link w:val="RodapChar"/>
    <w:uiPriority w:val="99"/>
    <w:unhideWhenUsed/>
    <w:rsid w:val="005e7a4c"/>
    <w:pPr>
      <w:tabs>
        <w:tab w:val="clear" w:pos="720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cs="Liberation Mono"/>
      <w:sz w:val="20"/>
      <w:szCs w:val="20"/>
    </w:rPr>
  </w:style>
  <w:style w:type="paragraph" w:styleId="LOnormal15" w:customStyle="1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0" w:hAnsi="0" w:eastAsia="NSimSun" w:cs="Lucida Sans"/>
      <w:color w:val="000000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Application>LibreOffice/7.1.7.2$Windows_X86_64 LibreOffice_project/c6a4e3954236145e2acb0b65f68614365aeee33f</Application>
  <AppVersion>15.0000</AppVersion>
  <Pages>4</Pages>
  <Words>907</Words>
  <Characters>5443</Characters>
  <CharactersWithSpaces>6203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2025-09-09T10:20:00Z</dcterms:created>
  <dc:creator>mana.arqdesign@outlook.com</dc:creator>
  <dc:description/>
  <dc:language>pt-BR</dc:language>
  <cp:lastModifiedBy/>
  <cp:lastPrinted>2025-09-01T14:48:00Z</cp:lastPrinted>
  <dcterms:modified xsi:type="dcterms:W3CDTF">2025-10-06T10:22:12Z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