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841ª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11/05/2026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e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113" w:after="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27 de abril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bCs w:val="false"/>
          <w:color w:val="000000"/>
          <w:sz w:val="22"/>
          <w:szCs w:val="22"/>
          <w:shd w:fill="auto" w:val="clear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Processos pautados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3.2.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842ª REUNIÃO ORDINÁRIA</w:t>
      </w: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3.3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INTERVENÇÃO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3.4.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842ª REUNIÃO ORDINÁRIA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color w:val="000000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57" w:after="57"/>
        <w:ind w:left="737" w:right="0" w:hanging="0"/>
        <w:jc w:val="both"/>
        <w:rPr>
          <w:rFonts w:ascii="Calibri" w:hAnsi="Calibri"/>
          <w:color w:val="000000"/>
          <w:sz w:val="22"/>
          <w:szCs w:val="22"/>
          <w:shd w:fill="FFFFFF" w:val="clear"/>
        </w:rPr>
      </w:pPr>
      <w:r>
        <w:rPr>
          <w:rFonts w:ascii="Calibri" w:hAnsi="Calibri"/>
          <w:color w:val="000000"/>
          <w:sz w:val="22"/>
          <w:szCs w:val="22"/>
          <w:shd w:fill="FFFFFF" w:val="clear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  <w:r>
        <w:br w:type="page"/>
      </w:r>
    </w:p>
    <w:p>
      <w:pPr>
        <w:pStyle w:val="LOnormal"/>
        <w:widowControl/>
        <w:numPr>
          <w:ilvl w:val="0"/>
          <w:numId w:val="0"/>
        </w:numPr>
        <w:shd w:val="clear" w:color="auto" w:fill="B3B3B3"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 PROCESSOS PAUTADOS EM REUNIÕES ANTERIORES PENDENTES DE DELIBERAÇÃO - RELATIVOS A TOMBAMENTO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6025.2023/0009193-3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Departamento do Patrimônio Histórico (DPH)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Abertura de processo de tombamento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Quartel-General Integrado do Comando Militar do Sudeste - CMSE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6025.2019/0007640-6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Voga Empreendimentos Ltda.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Recurso contra decisão do CONPRESP - Tombamento da Vila Raphael Parente, Vila Maria Parente Migliari, e do grupo de sobrados remanescentes da Vila João Migliari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Vila Raphael Parente, no Belenzinho, Vila Maria Parente Migliari, no Catumbi, e de sobrados remanescentes da Vila João Migliari, no Tatuapé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2011-0.009.424-1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Via Cultural - Instituto de Pesquisa e Ação pela Cultura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Decisão sobre a continuidade dos estudos da APT - Enquadramento do Cine Belas Artes como ZEPEC-APC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Consolação, nº 2423 - Cerqueira César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2006-0.267.971-7</w:t>
            </w:r>
            <w:r>
              <w:rPr>
                <w:rFonts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Cintia Ema Padovan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Tombamento de Vila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Conselheiro Rodrigues Alves, 275,281 E 289 - CASAS 1 A 07 - Vila Mariana</w:t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lineRule="auto" w:line="360" w:before="0" w:after="0"/>
        <w:ind w:left="397" w:right="0" w:hanging="397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3.2. PROCESSOS PAUTADOS PARA A 842ª REUNIÃO ORDINÁRIA – RELATIVOS a TOMBAMENTO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>6510.2025/0023092-5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Vereadora Keit Lima / CTA-ZEPEC-APC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revogação de autorização para construção de nova edificação em área envoltória e análise para tombamento das atividades do grupo Quilombolas de Luz com sede na Bela Vista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Rua Treze de Maio, nº 47 e à Rua Luiz Porrio, nºs 449, 457/461, 463/467 -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Cs w:val="22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6025.2026/0005489-8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Núcleo de Identificação e Tombamento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Republicação de mapa da Resolução nº 20/CONPRESP/2011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Avenida Washington Luís, s/n - Campo Belo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 PROCESSOS PAUTADOS EM REUNIÕES ANTERIORES PENDENTES DE DELIBERAÇÃO - RELATIVOS À APROVAÇÃO DE PROJETOS DE INTERVENÇÃO EM BENS PROTEGIDOS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6025.2022/0032563-0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Urbia Gestão de Parques SPE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Pedido de reforma visando a implantação do "Nike Mulheres"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República do Líbano, SN - Vila Mariana</w:t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6025.2025/0008085-4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Jorge Breogan Froes Rodrigues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Denúncia sobre construção e obras irregulares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Vera Cruz, 228 - Penha</w:t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6025.2019/0017511-0</w:t>
            </w:r>
            <w:r>
              <w:rPr>
                <w:rFonts w:cs="Calibri Light"/>
                <w:b/>
                <w:bCs/>
                <w:i w:val="false"/>
                <w:caps w:val="false"/>
                <w:smallCaps w:val="false"/>
                <w:spacing w:val="0"/>
                <w:shd w:fill="auto" w:val="clear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Giopris Empreendimentos Imobiliários LTDA.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  <w:u w:val="none"/>
              </w:rPr>
              <w:t>Atendimento de diretriz referente ao projeto de restauro da residência de Eduardo Benjamin Jafet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Rua Bom Pastor, 825 - Ipiranga </w:t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6025.2022/0003689-2</w:t>
            </w:r>
            <w:r>
              <w:rPr>
                <w:rFonts w:cs="Calibri Light" w:cstheme="majorHAnsi"/>
                <w:color w:val="000000"/>
                <w:sz w:val="22"/>
                <w:szCs w:val="22"/>
                <w:shd w:fill="auto" w:val="clear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Saturnino Cabral Vieira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shd w:fill="FFFFFF" w:val="clear"/>
              </w:rPr>
              <w:t>Atendimento de diligência - Recurso contra decisão do Conpresp sobre aplicação de Multa FUNCAP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dos Carmelitas, 150 - Sé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PARA A 842ª REUNIÃO ORDINÁRIA - RELATIVOS À APROVAÇÃO DE PROJETOS DE INTERVENÇÃO EM BENS PROTEGIDOS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6025.2025/0028014-4</w:t>
            </w:r>
            <w:r>
              <w:rPr>
                <w:rFonts w:cs="Calibri Light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Fundação Casper Líbero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de indeferimento por abandono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Avenida Paulista, 900 -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 xml:space="preserve"> 6025.2019/0014945-4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Tapera Arquitetura e Patrimônio Cultural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Validação para novo prazo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Caiubí, 126-164 - Perdizes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 Light" w:cstheme="majorHAnsi"/>
                <w:b/>
                <w:b/>
                <w:bCs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pt-BR" w:eastAsia="zh-CN" w:bidi="ar-SA"/>
              </w:rPr>
            </w:pP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PROCESSO: 6025.2023/0030401-5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Tais Gonçalves Dias Machado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Proposta de 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Rui Barbosa, 595 -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 xml:space="preserve"> 6025.2024/0006422-9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Lilia Victor Maia Pereira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Nossa Senhora da Penha, 1682 - Penha de França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: 6025.2024/0032473-5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Souza Lopez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Major Diogo, 727 -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: 6025.2024/0030527-7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Subprefeitura da Sé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Providências sobre intervenção irregular sem prévia autorização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Brigadeiro Luis Antônio, 993 esquina com a Rua Humaitá, 267 - Bela Vista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SO: 6025.2023/0005318-7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Lana Cristina Moura Yoshida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reforma e manutenção no Edifício Cleveland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Alameda Joaquim Eugênio de Lima, 70 - Bela Vista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 xml:space="preserve"> 6025.2022/0030909-0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Luís Borrelli Neto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revisão da Resolução n° 37/CONPRESP/2013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Doutor José de Queirós Aranha, 105 - Vila Mariana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: 6025.2023/0030127-0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Renato Leme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Atendimento de diretrizes de pedido de reforma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Marquês de Itu, 968 - Vila Buarque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6025.2025/0022415-5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Concessionária Prever Adm. Cemiterial e Funerária S.A.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reforma no entorno do Crematório Vila Alpina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Falconi, 437 - Vila Alpina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PROCESSO: 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6025.2025/0009790-0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Murilo Tolentino das Neves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demolição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Rocha, 315 - Bela Vista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 xml:space="preserve"> 6056.2024/0007640-4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Amendinal Administração Médica Nacional Ltda.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instalação de anúncio indicativo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Brigadeiro Luis Antônio, 1305 - Bela Vista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  <w:shd w:fill="auto" w:val="clear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6025.2024/0024274-7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Associação Brasileira de Criadores de Cavalos da Raça Manga Larga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reforma para o Prédio 11 do Parque da Água Branca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455 - Água Branca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6025.2024/0020345-8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Companhia Paulista de Trens Metropolitanos (CPTM)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Atendimento de diretrizes de pedido de obras emergenciais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Mooca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6025.2025/0007761-6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Santander Holding Imobiliária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reforma no Edifício Altino Arantes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João Brícola, 24 - Centro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6025.2022/0018303-8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Alexandre Gonçalves da Silva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reforma no Edifício da Antiga Hospedaria dos Imigrantes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Visconde de Parnaíba, 1316 - Brás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6025.2026/0004045-5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Marilisa de Moura Borges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demolição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Almeida Junior, 86 - Liberdade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6025.2024/0025070-7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Eduardo Midega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reforma de edifícios remanescentes da antiga serraria e galpões lindeiros e chaminé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454, 514, 518, 524, 526, 530, 652, 678, 694, 706, 718, 774, 778, 782, 788, 798, 810 e 854; Rua Tagipuru, 377, 617, 629, 641, 699, 709, 711, 721, 733, 795 e 927; Rua Dona Germaine Burchard, 09, 33 e 77 ─ Água Branca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6025.2025/0012120-8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Serviço Social do Comércio (SESC)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reegularização do Edifício João Brícola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Ramos de Azevedo, 131 - Centro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  <w:highlight w:val="none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auto" w:val="clear"/>
              </w:rPr>
              <w:t>PROCESSO: 6025.2026/0003991-0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Fernando Brandão Escudero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regularização de intervenções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455 - Água Branca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/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/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/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sz w:val="22"/>
          <w:szCs w:val="22"/>
        </w:rPr>
        <w:t>4. TEMAS GERAIS/EXTRAPAUTA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Ttulo31"/>
        <w:spacing w:lineRule="auto" w:line="156"/>
        <w:jc w:val="both"/>
        <w:rPr>
          <w:color w:val="auto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 xml:space="preserve">DOC </w:t>
      </w: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>04</w:t>
      </w: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>/0</w:t>
      </w: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>5</w:t>
      </w: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 xml:space="preserve">/2026 – P. </w:t>
      </w: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>283-284</w:t>
      </w:r>
    </w:p>
    <w:sectPr>
      <w:headerReference w:type="default" r:id="rId3"/>
      <w:footerReference w:type="default" r:id="rId4"/>
      <w:type w:val="nextPage"/>
      <w:pgSz w:w="11906" w:h="16838"/>
      <w:pgMar w:left="1134" w:right="845" w:gutter="0" w:header="404" w:top="461" w:footer="255" w:bottom="53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Forte">
    <w:name w:val="Forte"/>
    <w:qFormat/>
    <w:rPr>
      <w:b/>
      <w:bCs/>
    </w:rPr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08" w:right="0" w:hanging="0"/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Application>LibreOffice/7.2.5.2$Windows_X86_64 LibreOffice_project/499f9727c189e6ef3471021d6132d4c694f357e5</Application>
  <AppVersion>15.0000</AppVersion>
  <Pages>6</Pages>
  <Words>1203</Words>
  <Characters>7430</Characters>
  <CharactersWithSpaces>8387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cp:lastPrinted>2026-04-14T14:58:22Z</cp:lastPrinted>
  <dcterms:modified xsi:type="dcterms:W3CDTF">2026-05-04T14:02:04Z</dcterms:modified>
  <cp:revision>346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