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E126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18C3DA1" w14:textId="46AAB196" w:rsidR="00966C2A" w:rsidRPr="00FA0330" w:rsidRDefault="00742E6C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54626B">
        <w:rPr>
          <w:rFonts w:ascii="Arial" w:hAnsi="Arial" w:cs="Arial"/>
          <w:b/>
          <w:bCs/>
          <w:sz w:val="28"/>
          <w:szCs w:val="28"/>
        </w:rPr>
        <w:t>3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C25269F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3F3194BB" w14:textId="512D32BC" w:rsidR="0054626B" w:rsidRDefault="0054626B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54626B">
        <w:rPr>
          <w:rFonts w:ascii="Arial" w:hAnsi="Arial" w:cs="Arial"/>
          <w:b/>
          <w:bCs/>
          <w:u w:val="single"/>
        </w:rPr>
        <w:t>SECRETARIA EXECUTIVA DE SEGURANÇA ALIMENTAR E NUTRICIONAL E ABASTECIMENTO</w:t>
      </w:r>
    </w:p>
    <w:p w14:paraId="635673A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4626B">
        <w:rPr>
          <w:rFonts w:ascii="Arial" w:hAnsi="Arial" w:cs="Arial"/>
          <w:b/>
          <w:bCs/>
          <w:sz w:val="22"/>
          <w:szCs w:val="22"/>
        </w:rPr>
        <w:t>Portaria | Documento: 151701144</w:t>
      </w:r>
    </w:p>
    <w:p w14:paraId="069EE1E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PORTARIA CONJUNTA SMDET/SMDHC N. 001/2026</w:t>
      </w:r>
    </w:p>
    <w:p w14:paraId="184DECE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Estabelece Cooperação Técnica entre a Secretaria Municipal de Desenvolvimento Econômico e Trabalho - SMDET e</w:t>
      </w:r>
    </w:p>
    <w:p w14:paraId="00874A4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 Secretária Municipal de Direitos Humanos e Cidadania - SMDHC para o fortalecimento da agricultura rural,</w:t>
      </w:r>
    </w:p>
    <w:p w14:paraId="6138EA7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urbana e periurbana, e da segurança alimentar e nutricional no Município de São Paulo, e dá outras providências.</w:t>
      </w:r>
    </w:p>
    <w:p w14:paraId="5F86E5C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RODRIGO HAYASHI GOULART, Secretário Municipal de Desenvolvimento Econômico e Trabalho, REGINA CÉLIA</w:t>
      </w:r>
    </w:p>
    <w:p w14:paraId="552A5B8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 xml:space="preserve">DA SILVEIRA SANTANA, Secretária Municipal de Direitos Humanos e Cidadania </w:t>
      </w:r>
      <w:proofErr w:type="spellStart"/>
      <w:r w:rsidRPr="0054626B">
        <w:rPr>
          <w:rFonts w:ascii="Arial" w:hAnsi="Arial" w:cs="Arial"/>
          <w:sz w:val="22"/>
          <w:szCs w:val="22"/>
        </w:rPr>
        <w:t>eVITOR</w:t>
      </w:r>
      <w:proofErr w:type="spellEnd"/>
      <w:r w:rsidRPr="0054626B">
        <w:rPr>
          <w:rFonts w:ascii="Arial" w:hAnsi="Arial" w:cs="Arial"/>
          <w:sz w:val="22"/>
          <w:szCs w:val="22"/>
        </w:rPr>
        <w:t xml:space="preserve"> CAVALCANTI DE</w:t>
      </w:r>
    </w:p>
    <w:p w14:paraId="550678D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ARRUDA, Secretário Executivo da Secretaria Executiva de Segurança Alimentar e Nutricional e de Abastecimento,</w:t>
      </w:r>
    </w:p>
    <w:p w14:paraId="7457141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no exercício das atribuições que lhe foram conferidas por lei.</w:t>
      </w:r>
    </w:p>
    <w:p w14:paraId="4BABA35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CONSIDERANDO o disposto no Decreto Municipal nº 62.361, de 1º de agosto de 2023, que define as</w:t>
      </w:r>
    </w:p>
    <w:p w14:paraId="12A5C508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competências da Secretaria Executiva de Segurança Alimentar e Nutricional e de Abastecimento - SESANA,</w:t>
      </w:r>
    </w:p>
    <w:p w14:paraId="7C846C8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especialmente quanto à gestão da Política Municipal de Segurança Alimentar e Nutricional e à coordenação dos</w:t>
      </w:r>
    </w:p>
    <w:p w14:paraId="7F43EF0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equipamentos públicos de abastecimento;</w:t>
      </w:r>
    </w:p>
    <w:p w14:paraId="6C35A8B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CONSIDERANDO o disposto na Portaria Municipal nº 016/SMDHC de 20 de fevereiro de 2026, que delega</w:t>
      </w:r>
    </w:p>
    <w:p w14:paraId="6197930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competências para a ordenação de despesas e para a prática de atos de gestão no âmbito da Secretaria Executiva</w:t>
      </w:r>
    </w:p>
    <w:p w14:paraId="0EF1810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 Segurança Alimentar e Nutricional e de Abastecimento;</w:t>
      </w:r>
    </w:p>
    <w:p w14:paraId="61F0274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CONSIDERANDO a Lei Municipal nº 18.210, de 26 de dezembro de 2024, que institui o Programa de Segurança</w:t>
      </w:r>
    </w:p>
    <w:p w14:paraId="551F0BE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lastRenderedPageBreak/>
        <w:t>Alimentar e Nutricional e de Abastecimento da Cidade de São Paulo;</w:t>
      </w:r>
    </w:p>
    <w:p w14:paraId="2317AF1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CONSIDERANDO o art. 43-B do Decreto Municipal nº 58.153, de 22 de março de 2018, que dispõe sobre as</w:t>
      </w:r>
    </w:p>
    <w:p w14:paraId="5EA43AC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atribuições da Coordenadoria de Agricultura da Secretaria Municipal de Desenvolvimento Econômico e Trabalho -</w:t>
      </w:r>
    </w:p>
    <w:p w14:paraId="5D70AE9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SMDET;</w:t>
      </w:r>
    </w:p>
    <w:p w14:paraId="46E6310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CONSIDERANDO a Lei Municipal nº 13.727, de 12 de janeiro de 2004, que institui o Programa de Agricultura</w:t>
      </w:r>
    </w:p>
    <w:p w14:paraId="07F34AB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Urbana e Periurbana - PROAURP;</w:t>
      </w:r>
    </w:p>
    <w:p w14:paraId="1B85DCF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CONSIDERANDO o Decreto Municipal nº 62.610, de 28 de julho de 2023, que institui o Plano Municipal de</w:t>
      </w:r>
    </w:p>
    <w:p w14:paraId="7979E58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Agroecologia e Desenvolvimento Rural Sustentável - Plano Rural;</w:t>
      </w:r>
    </w:p>
    <w:p w14:paraId="5468A14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 xml:space="preserve">CONSIDERANDO os </w:t>
      </w:r>
      <w:proofErr w:type="spellStart"/>
      <w:r w:rsidRPr="0054626B">
        <w:rPr>
          <w:rFonts w:ascii="Arial" w:hAnsi="Arial" w:cs="Arial"/>
          <w:sz w:val="22"/>
          <w:szCs w:val="22"/>
        </w:rPr>
        <w:t>arts</w:t>
      </w:r>
      <w:proofErr w:type="spellEnd"/>
      <w:r w:rsidRPr="0054626B">
        <w:rPr>
          <w:rFonts w:ascii="Arial" w:hAnsi="Arial" w:cs="Arial"/>
          <w:sz w:val="22"/>
          <w:szCs w:val="22"/>
        </w:rPr>
        <w:t>. 174, 175 e 184 da Lei Federal nº 14.133, de 1º de abril de 2021, que autorizam e</w:t>
      </w:r>
    </w:p>
    <w:p w14:paraId="4CFEE94B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disciplinam instrumentos de cooperação entre órgãos e entidades da Administração Pública para a execução</w:t>
      </w:r>
    </w:p>
    <w:p w14:paraId="6A48C24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descentralizada de políticas públicas;</w:t>
      </w:r>
    </w:p>
    <w:p w14:paraId="0452FEE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RESOLVEM:</w:t>
      </w:r>
    </w:p>
    <w:p w14:paraId="7F0ACD1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Art. 1º Fica instituída, no âmbito da Secretaria Municipal de Desenvolvimento Econômico e Trabalho - SMDET e da</w:t>
      </w:r>
    </w:p>
    <w:p w14:paraId="5C6A18D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Secretaria Municipal de Direitos Humanos e Cidadania - SMDHC, por intermédio da Secretaria Executiva de</w:t>
      </w:r>
    </w:p>
    <w:p w14:paraId="6D488A5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Segurança Alimentar e Nutricional e de Abastecimento - SESANA, a Cooperação Técnica com a finalidade de</w:t>
      </w:r>
    </w:p>
    <w:p w14:paraId="12F0CE7B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articular e fortalecer a agricultura rural, urbana e periurbana, promover o desenvolvimento sustentável, e ampliar</w:t>
      </w:r>
    </w:p>
    <w:p w14:paraId="3B2DFD4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o acesso a alimentos locais, saudáveis e de base agroecológica.</w:t>
      </w:r>
    </w:p>
    <w:p w14:paraId="6E5985C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Art. 2º São objetivos específicos da presente Cooperação Técnica:</w:t>
      </w:r>
    </w:p>
    <w:p w14:paraId="7B6DCAA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 - Apoiar os locais de agricultura atendidos pela Assistência Técnica e Extensão Rural - ATER, no âmbito do</w:t>
      </w:r>
    </w:p>
    <w:p w14:paraId="3E036A4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 xml:space="preserve">Programa </w:t>
      </w:r>
      <w:proofErr w:type="spellStart"/>
      <w:r w:rsidRPr="0054626B">
        <w:rPr>
          <w:rFonts w:ascii="Arial" w:hAnsi="Arial" w:cs="Arial"/>
          <w:sz w:val="22"/>
          <w:szCs w:val="22"/>
        </w:rPr>
        <w:t>Sampa+Rural</w:t>
      </w:r>
      <w:proofErr w:type="spellEnd"/>
      <w:r w:rsidRPr="0054626B">
        <w:rPr>
          <w:rFonts w:ascii="Arial" w:hAnsi="Arial" w:cs="Arial"/>
          <w:sz w:val="22"/>
          <w:szCs w:val="22"/>
        </w:rPr>
        <w:t>, facilitando o acesso a canais de comercialização e à formalização como</w:t>
      </w:r>
    </w:p>
    <w:p w14:paraId="24107C3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54626B">
        <w:rPr>
          <w:rFonts w:ascii="Arial" w:hAnsi="Arial" w:cs="Arial"/>
          <w:sz w:val="22"/>
          <w:szCs w:val="22"/>
        </w:rPr>
        <w:t>empreendimentos</w:t>
      </w:r>
      <w:proofErr w:type="spellEnd"/>
      <w:r w:rsidRPr="0054626B">
        <w:rPr>
          <w:rFonts w:ascii="Arial" w:hAnsi="Arial" w:cs="Arial"/>
          <w:sz w:val="22"/>
          <w:szCs w:val="22"/>
        </w:rPr>
        <w:t xml:space="preserve"> sustentáveis;</w:t>
      </w:r>
    </w:p>
    <w:p w14:paraId="2779DE5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II- Priorizar o fornecimento e a distribuição de alimentos saudáveis produzidos localmente, com observância dos</w:t>
      </w:r>
    </w:p>
    <w:p w14:paraId="095458D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lastRenderedPageBreak/>
        <w:t>princípios da proximidade territorial e da sustentabilidade ambiental;</w:t>
      </w:r>
    </w:p>
    <w:p w14:paraId="03E1461E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III- Fortalecer os equipamentos públicos de abastecimento e de segurança alimentar e nutricional como canais</w:t>
      </w:r>
    </w:p>
    <w:p w14:paraId="744B92B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estratégicos de comercialização de produtos orgânicos e de base agroecológica atendidos pelo Programa</w:t>
      </w:r>
    </w:p>
    <w:p w14:paraId="12492C1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54626B">
        <w:rPr>
          <w:rFonts w:ascii="Arial" w:hAnsi="Arial" w:cs="Arial"/>
          <w:sz w:val="22"/>
          <w:szCs w:val="22"/>
        </w:rPr>
        <w:t>Sampa+Rural</w:t>
      </w:r>
      <w:proofErr w:type="spellEnd"/>
      <w:r w:rsidRPr="0054626B">
        <w:rPr>
          <w:rFonts w:ascii="Arial" w:hAnsi="Arial" w:cs="Arial"/>
          <w:sz w:val="22"/>
          <w:szCs w:val="22"/>
        </w:rPr>
        <w:t>;</w:t>
      </w:r>
    </w:p>
    <w:p w14:paraId="1C2D102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IV- Promover a autonomia produtiva e a sustentabilidade econômica dos agricultores locais;</w:t>
      </w:r>
    </w:p>
    <w:p w14:paraId="07D1589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V- Incentivar a produção orgânica, sustentável e a transição agroecológica, em conformidade com o Plano Rural;</w:t>
      </w:r>
    </w:p>
    <w:p w14:paraId="053FBFEB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VI- Fomentar a economia circular, solidária e inclusiva, conforme o Programa de Segurança Alimentar e Nutricional</w:t>
      </w:r>
    </w:p>
    <w:p w14:paraId="79B25CE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e de Abastecimento no âmbito da Cidade de São Paulo; e</w:t>
      </w:r>
    </w:p>
    <w:p w14:paraId="4AA3158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VII- Consolidar indicadores e relatórios de desempenho para fins de monitoramento e avaliação de resultados.</w:t>
      </w:r>
    </w:p>
    <w:p w14:paraId="6D7D055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Parágrafo único. As iniciativas decorrentes desta Cooperação deverão priorizar o combate à fome, a promoção da</w:t>
      </w:r>
    </w:p>
    <w:p w14:paraId="7043217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segurança alimentar e nutricional, o desenvolvimento econômico local e o incentivo à economia solidária.</w:t>
      </w:r>
    </w:p>
    <w:p w14:paraId="5A67AF1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Art. 3º As atribuições das partes signatárias ficam assim definidas:</w:t>
      </w:r>
    </w:p>
    <w:p w14:paraId="56B3FB1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 - À Secretaria de Desenvolvimento Econômico e Trabalho - SMDET, por intermédio da Coordenadoria de</w:t>
      </w:r>
    </w:p>
    <w:p w14:paraId="51B55C8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Agricultura - CA, compete:</w:t>
      </w:r>
    </w:p>
    <w:p w14:paraId="35AA99F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a. mapear, cadastrar e organizar produtores e locais de agricultura;</w:t>
      </w:r>
    </w:p>
    <w:p w14:paraId="6CE0FE5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b. prestar assistência técnica e capacitação voltadas ao aperfeiçoamento produtivo;</w:t>
      </w:r>
    </w:p>
    <w:p w14:paraId="0E8AC54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c. apoiar a logística de escoamento e a articulação com pontos de comercialização;</w:t>
      </w:r>
    </w:p>
    <w:p w14:paraId="7CBFBF2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d. apoiar a formalização fiscal e documental dos produtores;</w:t>
      </w:r>
    </w:p>
    <w:p w14:paraId="63157DD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e. assegurar acesso equitativo às oportunidades de comercialização; e</w:t>
      </w:r>
    </w:p>
    <w:p w14:paraId="4A892A9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f. priorizar o apoio a locais de agricultura orgânicos, agroecológicos ou em transição agroecológica.</w:t>
      </w:r>
    </w:p>
    <w:p w14:paraId="0B34F23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II - À Secretaria Municipal de Direitos Humanos, por intermédio da Secretaria Executiva de Segurança Alimentar e</w:t>
      </w:r>
    </w:p>
    <w:p w14:paraId="093D5418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Nutricional e de Abastecimento - SESANA e por meio de seus equipamentos públicos de segurança alimentar e</w:t>
      </w:r>
    </w:p>
    <w:p w14:paraId="10CFD8F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nutricional, compete:</w:t>
      </w:r>
    </w:p>
    <w:p w14:paraId="10C330B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lastRenderedPageBreak/>
        <w:t>a. realizar, quando cabível e observado o regime jurídico aplicável, a aquisição de alimentos oriundos dos locais de</w:t>
      </w:r>
    </w:p>
    <w:p w14:paraId="2B30535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agricultura cadastrados, mediante os instrumentos e procedimentos de contratação pública previstos na legislação</w:t>
      </w:r>
    </w:p>
    <w:p w14:paraId="77FA044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vigente, ou, alternativamente, disponibilizar estruturas físicas e operacionais para sua comercialização, sem que a</w:t>
      </w:r>
    </w:p>
    <w:p w14:paraId="4D83D3B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presente Portaria constitua, por si só, autorização genérica ou inovação normativa em matéria de compras</w:t>
      </w:r>
    </w:p>
    <w:p w14:paraId="555CFF5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públicas;</w:t>
      </w:r>
    </w:p>
    <w:p w14:paraId="6BBCCF3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b. incentivar a priorização de compras e fornecimento de alimentos orgânicos, de base agroecológica ou em</w:t>
      </w:r>
    </w:p>
    <w:p w14:paraId="4565B78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transição agroecológica, de locais de agricultura atendidos pela Coordenadoria de Agricultura - CA;</w:t>
      </w:r>
    </w:p>
    <w:p w14:paraId="6A3DEA4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c. operacionalizar o recebimento, armazenamento, comercialização e distribuição dos alimentos, observando as</w:t>
      </w:r>
    </w:p>
    <w:p w14:paraId="6452009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normas sanitárias aplicáveis; e</w:t>
      </w:r>
    </w:p>
    <w:p w14:paraId="38ED3CF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d. assegurar transparência, rastreabilidade e controle social das operações realizadas.</w:t>
      </w:r>
    </w:p>
    <w:p w14:paraId="00483AE8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 1º As partes deverão garantir a intersetorialidade das políticas públicas, integrando esforços com outras</w:t>
      </w:r>
    </w:p>
    <w:p w14:paraId="6E0876B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Secretarias Municipais e órgãos correlatos, quando necessário.</w:t>
      </w:r>
    </w:p>
    <w:p w14:paraId="55BF89F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 2º A execução das ações observará as normas de transparência pública e controle social.</w:t>
      </w:r>
    </w:p>
    <w:p w14:paraId="301DEE5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Art. 4º A execução da Cooperação Técnica prevista no art. 1º será por meio de Planos de Trabalho Temáticos,</w:t>
      </w:r>
    </w:p>
    <w:p w14:paraId="074DD00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aprovados por Comitê Gestor, conforme modelo do Anexo Único desta Portaria.</w:t>
      </w:r>
    </w:p>
    <w:p w14:paraId="4F338F5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§1º O Plano de Trabalho deverá conter, no mínimo:</w:t>
      </w:r>
    </w:p>
    <w:p w14:paraId="080FBA4E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 - A identificação e qualificação das partes;</w:t>
      </w:r>
    </w:p>
    <w:p w14:paraId="5E6AFBCE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II - O objeto específico da cooperação;</w:t>
      </w:r>
    </w:p>
    <w:p w14:paraId="494AF3E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III - As metas e resultados esperados;</w:t>
      </w:r>
    </w:p>
    <w:p w14:paraId="5B7B347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IV - Indicadores mensuráveis de resultados;</w:t>
      </w:r>
    </w:p>
    <w:p w14:paraId="209798E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V - O cronograma de execução; e</w:t>
      </w:r>
    </w:p>
    <w:p w14:paraId="72D0FB0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VI - As obrigações e responsabilidades de cada partícipe.</w:t>
      </w:r>
    </w:p>
    <w:p w14:paraId="563B2F1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 2º O Comitê Gestor será composto por servidores indicados pelas Secretarias signatárias.</w:t>
      </w:r>
    </w:p>
    <w:p w14:paraId="378A161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lastRenderedPageBreak/>
        <w:t>§ 3º A execução dos Planos de Trabalho será monitorada pelo Comitê Gestor, periodicamente, a critério da</w:t>
      </w:r>
    </w:p>
    <w:p w14:paraId="477D510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Administração Municipal, mediante relatórios técnicos e registros administrativos.</w:t>
      </w:r>
    </w:p>
    <w:p w14:paraId="2D9B7FD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Art. 5º A gestão, o monitoramento e a avaliação da presente Cooperação Técnica caberão ao Comitê Gestor</w:t>
      </w:r>
    </w:p>
    <w:p w14:paraId="418461A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Permanente, composto por representantes designados pela Coordenadoria de Agricultura (CA/SMDET) e pela</w:t>
      </w:r>
    </w:p>
    <w:p w14:paraId="0EA40C6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Secretaria Executiva de Segurança Alimentar e Nutricional e de Abastecimento (SESANA/SMDHC), responsáveis</w:t>
      </w:r>
    </w:p>
    <w:p w14:paraId="467BB99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por acompanhar a execução, avaliar resultados e propor ajustes e recomendações.</w:t>
      </w:r>
    </w:p>
    <w:p w14:paraId="138C5D6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 1º O Comitê Gestor reunir-se-á mediante convocação.</w:t>
      </w:r>
    </w:p>
    <w:p w14:paraId="0AE7259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§2º Poderão ser convidados representantes de outras Secretarias, órgãos públicos, universidades ou organizações</w:t>
      </w:r>
    </w:p>
    <w:p w14:paraId="6098B83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da sociedade civil que atuem nas áreas de agricultura urbana e segurança alimentar e nutricional.</w:t>
      </w:r>
    </w:p>
    <w:p w14:paraId="5DDEF01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§3º Caberá ao Comitê Gestor elaborar relatórios de acompanhamento, que serão encaminhados aos responsáveis</w:t>
      </w:r>
    </w:p>
    <w:p w14:paraId="4CAD765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 cada secretaria e disponibilizados em sítio público da Prefeitura de São Paulo das Secretarias signatárias.</w:t>
      </w:r>
    </w:p>
    <w:p w14:paraId="35A225E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§ 4º As metas e resultados serão avaliados anualmente, com base em indicadores de desempenho definidos nos</w:t>
      </w:r>
    </w:p>
    <w:p w14:paraId="2895B6A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Planos de Trabalho, acompanhado de parecer técnico conjunto das Secretarias signatárias.</w:t>
      </w:r>
    </w:p>
    <w:p w14:paraId="2D0CC316" w14:textId="128D48C4" w:rsid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Art. 6º Esta Portaria entra em vigor na data de sua publicação, revogadas as disposições em contrário.</w:t>
      </w:r>
    </w:p>
    <w:p w14:paraId="2EDAD64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54626B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1C5A37C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4626B">
        <w:rPr>
          <w:rFonts w:ascii="Arial" w:hAnsi="Arial" w:cs="Arial"/>
          <w:b/>
          <w:bCs/>
          <w:sz w:val="22"/>
          <w:szCs w:val="22"/>
        </w:rPr>
        <w:t xml:space="preserve">Despacho </w:t>
      </w:r>
      <w:proofErr w:type="spellStart"/>
      <w:r w:rsidRPr="0054626B">
        <w:rPr>
          <w:rFonts w:ascii="Arial" w:hAnsi="Arial" w:cs="Arial"/>
          <w:b/>
          <w:bCs/>
          <w:sz w:val="22"/>
          <w:szCs w:val="22"/>
        </w:rPr>
        <w:t>autorizatório</w:t>
      </w:r>
      <w:proofErr w:type="spellEnd"/>
      <w:r w:rsidRPr="0054626B">
        <w:rPr>
          <w:rFonts w:ascii="Arial" w:hAnsi="Arial" w:cs="Arial"/>
          <w:b/>
          <w:bCs/>
          <w:sz w:val="22"/>
          <w:szCs w:val="22"/>
        </w:rPr>
        <w:t xml:space="preserve"> (NP) | Documento: 151945472</w:t>
      </w:r>
    </w:p>
    <w:p w14:paraId="4C1AC80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PRINCIPAL</w:t>
      </w:r>
    </w:p>
    <w:p w14:paraId="3A787C4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Modalidade</w:t>
      </w:r>
    </w:p>
    <w:p w14:paraId="3B43769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Termo de Fomento</w:t>
      </w:r>
    </w:p>
    <w:p w14:paraId="26289848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r w:rsidRPr="0054626B">
        <w:rPr>
          <w:rFonts w:ascii="Arial" w:hAnsi="Arial" w:cs="Arial"/>
          <w:sz w:val="22"/>
          <w:szCs w:val="22"/>
        </w:rPr>
        <w:t>Orgão</w:t>
      </w:r>
      <w:proofErr w:type="spellEnd"/>
    </w:p>
    <w:p w14:paraId="7E66C27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Secretaria Municipal de Desenvolvimento Econômico e Trabalho - SMDET</w:t>
      </w:r>
    </w:p>
    <w:p w14:paraId="473E636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Número de processo interno do órgão/unidade</w:t>
      </w:r>
    </w:p>
    <w:p w14:paraId="3F787E7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6010.2025/0001397-7</w:t>
      </w:r>
    </w:p>
    <w:p w14:paraId="0C97CA5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Objeto</w:t>
      </w:r>
    </w:p>
    <w:p w14:paraId="36390BF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lastRenderedPageBreak/>
        <w:t>Curso de corte de cabelo, maquiagem e esmaltação.</w:t>
      </w:r>
    </w:p>
    <w:p w14:paraId="458C152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Descrição detalhada do objeto</w:t>
      </w:r>
    </w:p>
    <w:p w14:paraId="2A1596D9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Curso de corte de cabelo, maquiagem e esmaltação e visa capacitar 30 pessoas com idade entre 18 e 59 anos,</w:t>
      </w:r>
    </w:p>
    <w:p w14:paraId="1948D67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que tem como objetivo levar autoestima e beleza as comunidades gratuitamente com corte de cabelo, maquiagem e esmaltação proporcionado um bem-estar maior a jovens e adultos em vulnerabilidade e prepará-las</w:t>
      </w:r>
    </w:p>
    <w:p w14:paraId="1A57EEE5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para o efetivo exercício da cidadania, para prorrogar o prazo de vigência da execução pelo período de 1(um) mês,</w:t>
      </w:r>
    </w:p>
    <w:p w14:paraId="3A7476FF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até 16/04/2026. Projeto, Beleza que transforma.</w:t>
      </w:r>
    </w:p>
    <w:p w14:paraId="2105EA22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Conteúdo do despacho</w:t>
      </w:r>
    </w:p>
    <w:p w14:paraId="7AF3D77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I - No exercício da competência que me foi delegada por lei, e, em vista dos elementos de convicção contidos no</w:t>
      </w:r>
    </w:p>
    <w:p w14:paraId="779EDF0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 xml:space="preserve">presente, em especial; Parecer Jurídico </w:t>
      </w:r>
      <w:proofErr w:type="spellStart"/>
      <w:r w:rsidRPr="0054626B">
        <w:rPr>
          <w:rFonts w:ascii="Arial" w:hAnsi="Arial" w:cs="Arial"/>
          <w:sz w:val="22"/>
          <w:szCs w:val="22"/>
        </w:rPr>
        <w:t>doc</w:t>
      </w:r>
      <w:proofErr w:type="spellEnd"/>
      <w:r w:rsidRPr="0054626B">
        <w:rPr>
          <w:rFonts w:ascii="Arial" w:hAnsi="Arial" w:cs="Arial"/>
          <w:sz w:val="22"/>
          <w:szCs w:val="22"/>
        </w:rPr>
        <w:t xml:space="preserve"> 151548861 e manifestações da Gestora da parceria de doc.</w:t>
      </w:r>
    </w:p>
    <w:p w14:paraId="24DE084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 xml:space="preserve">151416223 e da Supervisão de Execução Orçamentária e Financeira </w:t>
      </w:r>
      <w:proofErr w:type="gramStart"/>
      <w:r w:rsidRPr="0054626B">
        <w:rPr>
          <w:rFonts w:ascii="Arial" w:hAnsi="Arial" w:cs="Arial"/>
          <w:sz w:val="22"/>
          <w:szCs w:val="22"/>
        </w:rPr>
        <w:t>151742620 ,</w:t>
      </w:r>
      <w:proofErr w:type="gramEnd"/>
      <w:r w:rsidRPr="0054626B">
        <w:rPr>
          <w:rFonts w:ascii="Arial" w:hAnsi="Arial" w:cs="Arial"/>
          <w:sz w:val="22"/>
          <w:szCs w:val="22"/>
        </w:rPr>
        <w:t xml:space="preserve"> que ora acolho e adoto como</w:t>
      </w:r>
    </w:p>
    <w:p w14:paraId="74F12AD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razão de decidir, AUTORIZO, observadas as formalidades legais e cautelas de estilo, com fundamento na Lei</w:t>
      </w:r>
    </w:p>
    <w:p w14:paraId="6305752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Federal nº 13.019/2014 e Decreto Municipal nº 57.575/2016, o 1º Termo de Aditamento do Termo de Fomento</w:t>
      </w:r>
    </w:p>
    <w:p w14:paraId="636BA37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014/2025/SMDET firmado com a organização da sociedade civil Associação Comercial Heliópolis e Região, inscrita</w:t>
      </w:r>
    </w:p>
    <w:p w14:paraId="336A1D3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no CNPJ sob o nº 11.671.954/0001-42, cujo objeto consiste na execução do projeto "Beleza que transforma - Curso</w:t>
      </w:r>
    </w:p>
    <w:p w14:paraId="08EE8CF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 corte de cabelo, maquiagem e esmaltação" e visa capacitar 30 (trinta) pessoas com idade entre 18 e 59 anos,</w:t>
      </w:r>
    </w:p>
    <w:p w14:paraId="42A1862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que tem como objetivo levar autoestima e beleza as comunidades gratuitamente com corte de cabelo, maquiagem e esmaltação proporcionado um bem-estar maior a jovens e adultos em vulnerabilidade e prepará-las</w:t>
      </w:r>
    </w:p>
    <w:p w14:paraId="49A3DA5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para o efetivo exercício da cidadania, através do desenvolvimento de uma postura proativa, crítica, reflexiva e de</w:t>
      </w:r>
    </w:p>
    <w:p w14:paraId="2DFBE51E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 xml:space="preserve">habilidades empreendedoras, e para um mundo de possibilidades no mercado de </w:t>
      </w:r>
      <w:proofErr w:type="gramStart"/>
      <w:r w:rsidRPr="0054626B">
        <w:rPr>
          <w:rFonts w:ascii="Arial" w:hAnsi="Arial" w:cs="Arial"/>
          <w:sz w:val="22"/>
          <w:szCs w:val="22"/>
        </w:rPr>
        <w:t>trabalho ,</w:t>
      </w:r>
      <w:proofErr w:type="gramEnd"/>
      <w:r w:rsidRPr="0054626B">
        <w:rPr>
          <w:rFonts w:ascii="Arial" w:hAnsi="Arial" w:cs="Arial"/>
          <w:sz w:val="22"/>
          <w:szCs w:val="22"/>
        </w:rPr>
        <w:t xml:space="preserve"> para prorrogar o prazo</w:t>
      </w:r>
    </w:p>
    <w:p w14:paraId="33917B8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 vigência da execução do objeto pelo período de 1(um) mês, vigorando até 16/04/2026. II - Ficam ratificadas as</w:t>
      </w:r>
    </w:p>
    <w:p w14:paraId="6F3BC1E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lastRenderedPageBreak/>
        <w:t>demais cláusulas e condições do Termo de Fomento 014/2025/SMDET. III - Publique-se e, em seguida, remetam-se</w:t>
      </w:r>
    </w:p>
    <w:p w14:paraId="628AA40A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os autos ao Departamento de Administração e Finanças, para as devidas providências. Após, à CT para</w:t>
      </w:r>
    </w:p>
    <w:p w14:paraId="7BC40DD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prosseguimento.</w:t>
      </w:r>
    </w:p>
    <w:p w14:paraId="2B53D4C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Anexo I (Número do Documento SEI)</w:t>
      </w:r>
    </w:p>
    <w:p w14:paraId="4F6D20AB" w14:textId="5CCE8C60" w:rsid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151766647</w:t>
      </w:r>
    </w:p>
    <w:p w14:paraId="264C2ED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4626B">
        <w:rPr>
          <w:rFonts w:ascii="Arial" w:hAnsi="Arial" w:cs="Arial"/>
          <w:b/>
          <w:bCs/>
          <w:sz w:val="22"/>
          <w:szCs w:val="22"/>
        </w:rPr>
        <w:t>GERÊNCIA JURÍDICA</w:t>
      </w:r>
    </w:p>
    <w:p w14:paraId="53AE6E3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54626B">
        <w:rPr>
          <w:rFonts w:ascii="Arial" w:hAnsi="Arial" w:cs="Arial"/>
          <w:b/>
          <w:bCs/>
          <w:sz w:val="22"/>
          <w:szCs w:val="22"/>
        </w:rPr>
        <w:t>Extrato | Documento: 151957570</w:t>
      </w:r>
    </w:p>
    <w:p w14:paraId="65C6E19C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AGÊNCIA SÃO PAULO DE DESENVOLVIMENTO - ADE SAMPA</w:t>
      </w:r>
    </w:p>
    <w:p w14:paraId="19CA0F44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PROCESSO SEI Nº 8710.2025/0000747-1</w:t>
      </w:r>
    </w:p>
    <w:p w14:paraId="77B86543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 Agência São Paulo de Desenvolvimento ADE SAMPA torna pública a adequação operacional do Termo de Adesão,</w:t>
      </w:r>
    </w:p>
    <w:p w14:paraId="7811B911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Anexo VI, integrante do Edital de Chamamento Público nº 019/2025, referente ao Programa Fashion Sampa:</w:t>
      </w:r>
    </w:p>
    <w:p w14:paraId="5AF5B996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Acelerando Moda e Costura, 2ª edição.</w:t>
      </w:r>
    </w:p>
    <w:p w14:paraId="1FDD857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 atualização abrange ajustes pontuais de caráter estritamente operacional, sem alteração do objeto do edital e</w:t>
      </w:r>
    </w:p>
    <w:p w14:paraId="1054DA47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sem modificação de critérios de seleção ou de condições de participação, considerando que o Termo de Adesão</w:t>
      </w:r>
    </w:p>
    <w:p w14:paraId="22469F4D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ainda não havia recebido assinatura dos beneficiários no momento da atualização.</w:t>
      </w:r>
    </w:p>
    <w:p w14:paraId="0A5A07B8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As alterações contemplam: (i) adequação da Cláusula Quarta, “Da Vigência”, para prever prazo de até 4 (quatro)</w:t>
      </w:r>
    </w:p>
    <w:p w14:paraId="3AE6E0E8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meses ou até a efetiva conclusão da aceleração do Grupo Produtivo, o que ocorrer primeiro; e (</w:t>
      </w:r>
      <w:proofErr w:type="spellStart"/>
      <w:r w:rsidRPr="0054626B">
        <w:rPr>
          <w:rFonts w:ascii="Arial" w:hAnsi="Arial" w:cs="Arial"/>
          <w:sz w:val="22"/>
          <w:szCs w:val="22"/>
        </w:rPr>
        <w:t>ii</w:t>
      </w:r>
      <w:proofErr w:type="spellEnd"/>
      <w:r w:rsidRPr="0054626B">
        <w:rPr>
          <w:rFonts w:ascii="Arial" w:hAnsi="Arial" w:cs="Arial"/>
          <w:sz w:val="22"/>
          <w:szCs w:val="22"/>
        </w:rPr>
        <w:t>) atualização do</w:t>
      </w:r>
    </w:p>
    <w:p w14:paraId="464EED90" w14:textId="77777777" w:rsidR="0054626B" w:rsidRP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prazo do item 8.4, de 30 (trinta) para 10 (dez) dias corridos, para compatibilização com o período de execução</w:t>
      </w:r>
    </w:p>
    <w:p w14:paraId="7F0A7A86" w14:textId="5CFC7983" w:rsidR="0054626B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54626B">
        <w:rPr>
          <w:rFonts w:ascii="Arial" w:hAnsi="Arial" w:cs="Arial"/>
          <w:sz w:val="22"/>
          <w:szCs w:val="22"/>
        </w:rPr>
        <w:t>desta edição do programa</w:t>
      </w:r>
    </w:p>
    <w:p w14:paraId="57040BCA" w14:textId="77777777" w:rsidR="0054626B" w:rsidRPr="00292B62" w:rsidRDefault="0054626B" w:rsidP="0054626B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sectPr w:rsidR="0054626B" w:rsidRPr="00292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7CB7" w14:textId="77777777" w:rsidR="00A97320" w:rsidRDefault="00A97320" w:rsidP="00C867A1">
      <w:pPr>
        <w:spacing w:after="0" w:line="240" w:lineRule="auto"/>
      </w:pPr>
      <w:r>
        <w:separator/>
      </w:r>
    </w:p>
  </w:endnote>
  <w:endnote w:type="continuationSeparator" w:id="0">
    <w:p w14:paraId="60CBFF53" w14:textId="77777777" w:rsidR="00A97320" w:rsidRDefault="00A9732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F82C" w14:textId="77777777" w:rsidR="00A97320" w:rsidRDefault="00A97320" w:rsidP="00C867A1">
      <w:pPr>
        <w:spacing w:after="0" w:line="240" w:lineRule="auto"/>
      </w:pPr>
      <w:r>
        <w:separator/>
      </w:r>
    </w:p>
  </w:footnote>
  <w:footnote w:type="continuationSeparator" w:id="0">
    <w:p w14:paraId="313C97EA" w14:textId="77777777" w:rsidR="00A97320" w:rsidRDefault="00A9732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12E4B"/>
    <w:rsid w:val="00026435"/>
    <w:rsid w:val="00030586"/>
    <w:rsid w:val="00042137"/>
    <w:rsid w:val="000938A5"/>
    <w:rsid w:val="0009713A"/>
    <w:rsid w:val="000E2E9C"/>
    <w:rsid w:val="000F3CDA"/>
    <w:rsid w:val="00103F20"/>
    <w:rsid w:val="00173312"/>
    <w:rsid w:val="00191D86"/>
    <w:rsid w:val="001A6938"/>
    <w:rsid w:val="001C0D43"/>
    <w:rsid w:val="001C2137"/>
    <w:rsid w:val="00221381"/>
    <w:rsid w:val="00234B7B"/>
    <w:rsid w:val="002377D7"/>
    <w:rsid w:val="00292B62"/>
    <w:rsid w:val="00294DCD"/>
    <w:rsid w:val="0030526B"/>
    <w:rsid w:val="00311509"/>
    <w:rsid w:val="00344B9D"/>
    <w:rsid w:val="00357CCE"/>
    <w:rsid w:val="003C6252"/>
    <w:rsid w:val="00424F24"/>
    <w:rsid w:val="004768D1"/>
    <w:rsid w:val="004A02F8"/>
    <w:rsid w:val="004A06A2"/>
    <w:rsid w:val="004B374F"/>
    <w:rsid w:val="004D1202"/>
    <w:rsid w:val="005050A3"/>
    <w:rsid w:val="00517475"/>
    <w:rsid w:val="00520B62"/>
    <w:rsid w:val="0054626B"/>
    <w:rsid w:val="00567527"/>
    <w:rsid w:val="00582701"/>
    <w:rsid w:val="005C044A"/>
    <w:rsid w:val="005F4B52"/>
    <w:rsid w:val="00607F25"/>
    <w:rsid w:val="00612EF5"/>
    <w:rsid w:val="0066227D"/>
    <w:rsid w:val="00675FC9"/>
    <w:rsid w:val="00686728"/>
    <w:rsid w:val="00711140"/>
    <w:rsid w:val="00714695"/>
    <w:rsid w:val="00742E6C"/>
    <w:rsid w:val="007A1B12"/>
    <w:rsid w:val="007B36D0"/>
    <w:rsid w:val="007F3F63"/>
    <w:rsid w:val="00807214"/>
    <w:rsid w:val="00843777"/>
    <w:rsid w:val="00846BB3"/>
    <w:rsid w:val="0085474C"/>
    <w:rsid w:val="008550D1"/>
    <w:rsid w:val="008D7204"/>
    <w:rsid w:val="008E6542"/>
    <w:rsid w:val="00905D7C"/>
    <w:rsid w:val="0096106A"/>
    <w:rsid w:val="00966C2A"/>
    <w:rsid w:val="009F5FF1"/>
    <w:rsid w:val="00A00419"/>
    <w:rsid w:val="00A23702"/>
    <w:rsid w:val="00A62C89"/>
    <w:rsid w:val="00A8711D"/>
    <w:rsid w:val="00A97320"/>
    <w:rsid w:val="00AA6278"/>
    <w:rsid w:val="00AF4307"/>
    <w:rsid w:val="00B9404B"/>
    <w:rsid w:val="00BA46F2"/>
    <w:rsid w:val="00C3353D"/>
    <w:rsid w:val="00C867A1"/>
    <w:rsid w:val="00CE7A2B"/>
    <w:rsid w:val="00CF4CCB"/>
    <w:rsid w:val="00D14B59"/>
    <w:rsid w:val="00D62396"/>
    <w:rsid w:val="00DA1E83"/>
    <w:rsid w:val="00DA62D5"/>
    <w:rsid w:val="00DD69D5"/>
    <w:rsid w:val="00DE1E35"/>
    <w:rsid w:val="00DE5E44"/>
    <w:rsid w:val="00E52897"/>
    <w:rsid w:val="00E8740D"/>
    <w:rsid w:val="00F02EAC"/>
    <w:rsid w:val="00F10EE0"/>
    <w:rsid w:val="00F23CC2"/>
    <w:rsid w:val="00F50F91"/>
    <w:rsid w:val="00F73F2D"/>
    <w:rsid w:val="00F90F37"/>
    <w:rsid w:val="00FA0330"/>
    <w:rsid w:val="00FA37A8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F64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1869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2026-03-03T16:07:00Z</dcterms:created>
  <dcterms:modified xsi:type="dcterms:W3CDTF">2026-03-03T16:14:00Z</dcterms:modified>
</cp:coreProperties>
</file>