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75629B57" w:rsidR="00966C2A" w:rsidRPr="00FA0330" w:rsidRDefault="00EF3AB1" w:rsidP="00813358">
      <w:pPr>
        <w:jc w:val="center"/>
        <w:rPr>
          <w:rFonts w:ascii="Arial" w:hAnsi="Arial" w:cs="Arial"/>
          <w:b/>
          <w:bCs/>
          <w:sz w:val="28"/>
          <w:szCs w:val="28"/>
        </w:rPr>
      </w:pPr>
      <w:r>
        <w:rPr>
          <w:rFonts w:ascii="Arial" w:hAnsi="Arial" w:cs="Arial"/>
          <w:b/>
          <w:bCs/>
          <w:sz w:val="28"/>
          <w:szCs w:val="28"/>
        </w:rPr>
        <w:t>2</w:t>
      </w:r>
      <w:r w:rsidR="00E73130">
        <w:rPr>
          <w:rFonts w:ascii="Arial" w:hAnsi="Arial" w:cs="Arial"/>
          <w:b/>
          <w:bCs/>
          <w:sz w:val="28"/>
          <w:szCs w:val="28"/>
        </w:rPr>
        <w:t>1</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28337B90" w14:textId="68ED33A0" w:rsidR="009A4034" w:rsidRPr="00837A91" w:rsidRDefault="00797B3F" w:rsidP="009A4034">
      <w:pPr>
        <w:tabs>
          <w:tab w:val="left" w:pos="2918"/>
        </w:tabs>
        <w:rPr>
          <w:b/>
          <w:bCs/>
          <w:u w:val="single"/>
        </w:rPr>
      </w:pPr>
      <w:r>
        <w:rPr>
          <w:b/>
          <w:bCs/>
          <w:u w:val="single"/>
        </w:rPr>
        <w:t>GABINETE DO PREFEITO</w:t>
      </w:r>
    </w:p>
    <w:p w14:paraId="53EA939A" w14:textId="77777777" w:rsidR="008133A6" w:rsidRPr="008133A6" w:rsidRDefault="008133A6" w:rsidP="008133A6">
      <w:pPr>
        <w:tabs>
          <w:tab w:val="left" w:pos="2918"/>
        </w:tabs>
        <w:rPr>
          <w:b/>
          <w:bCs/>
        </w:rPr>
      </w:pPr>
      <w:r w:rsidRPr="008133A6">
        <w:rPr>
          <w:b/>
          <w:bCs/>
        </w:rPr>
        <w:t>PORTARIAS</w:t>
      </w:r>
    </w:p>
    <w:p w14:paraId="692D6E8F" w14:textId="77777777" w:rsidR="008133A6" w:rsidRPr="008133A6" w:rsidRDefault="008133A6" w:rsidP="008133A6">
      <w:pPr>
        <w:tabs>
          <w:tab w:val="left" w:pos="2918"/>
        </w:tabs>
        <w:rPr>
          <w:b/>
          <w:bCs/>
        </w:rPr>
      </w:pPr>
      <w:r w:rsidRPr="008133A6">
        <w:rPr>
          <w:b/>
          <w:bCs/>
        </w:rPr>
        <w:t>Portaria | Documento: 163524279</w:t>
      </w:r>
    </w:p>
    <w:p w14:paraId="0EF74835" w14:textId="77777777" w:rsidR="008133A6" w:rsidRPr="008133A6" w:rsidRDefault="008133A6" w:rsidP="008133A6">
      <w:pPr>
        <w:tabs>
          <w:tab w:val="left" w:pos="2918"/>
        </w:tabs>
      </w:pPr>
      <w:r w:rsidRPr="008133A6">
        <w:t>Portaria nº 1170 de 20 de agosto de 2026</w:t>
      </w:r>
    </w:p>
    <w:p w14:paraId="3F99CE14" w14:textId="77777777" w:rsidR="008133A6" w:rsidRPr="008133A6" w:rsidRDefault="008133A6" w:rsidP="008133A6">
      <w:pPr>
        <w:tabs>
          <w:tab w:val="left" w:pos="2918"/>
        </w:tabs>
      </w:pPr>
      <w:r w:rsidRPr="008133A6">
        <w:t>Processo SEI 6010.2026/0002773-2</w:t>
      </w:r>
    </w:p>
    <w:p w14:paraId="0A83B148" w14:textId="77777777" w:rsidR="008133A6" w:rsidRPr="008133A6" w:rsidRDefault="008133A6" w:rsidP="008133A6">
      <w:pPr>
        <w:tabs>
          <w:tab w:val="left" w:pos="2918"/>
        </w:tabs>
      </w:pPr>
      <w:r w:rsidRPr="008133A6">
        <w:t>RICARDO NUNES, Prefeito do Município de São Paulo, usando das atribuições que lhe são conferidas por lei,</w:t>
      </w:r>
    </w:p>
    <w:p w14:paraId="7934CCBA" w14:textId="77777777" w:rsidR="008133A6" w:rsidRPr="008133A6" w:rsidRDefault="008133A6" w:rsidP="008133A6">
      <w:pPr>
        <w:tabs>
          <w:tab w:val="left" w:pos="2918"/>
        </w:tabs>
      </w:pPr>
      <w:r w:rsidRPr="008133A6">
        <w:t>RESOLVE:</w:t>
      </w:r>
    </w:p>
    <w:p w14:paraId="799EF6E6" w14:textId="77777777" w:rsidR="008133A6" w:rsidRPr="008133A6" w:rsidRDefault="008133A6" w:rsidP="008133A6">
      <w:pPr>
        <w:tabs>
          <w:tab w:val="left" w:pos="2918"/>
        </w:tabs>
      </w:pPr>
      <w:r w:rsidRPr="008133A6">
        <w:t>EXONERAR</w:t>
      </w:r>
    </w:p>
    <w:p w14:paraId="6272D528" w14:textId="77777777" w:rsidR="008133A6" w:rsidRPr="008133A6" w:rsidRDefault="008133A6" w:rsidP="008133A6">
      <w:pPr>
        <w:tabs>
          <w:tab w:val="left" w:pos="2918"/>
        </w:tabs>
      </w:pPr>
      <w:r w:rsidRPr="008133A6">
        <w:t>PROCURADORIA GERAL DO MUNICÍPIO</w:t>
      </w:r>
    </w:p>
    <w:p w14:paraId="6A684641" w14:textId="77777777" w:rsidR="008133A6" w:rsidRPr="008133A6" w:rsidRDefault="008133A6" w:rsidP="008133A6">
      <w:pPr>
        <w:tabs>
          <w:tab w:val="left" w:pos="2918"/>
        </w:tabs>
      </w:pPr>
      <w:r w:rsidRPr="008133A6">
        <w:t>1. LUCELENE APARECIDA JULIANI, RF 729.677.1, do cargo de Assessor I, Ref. CDA-1, do Departamento de Desapropriações - DESAP, do Gabinete do Procurador Geral do Município, da Procuradoria Geral do Município, vaga 23820, critérios gerais estabelecidos na</w:t>
      </w:r>
    </w:p>
    <w:p w14:paraId="3D5C2CF1" w14:textId="77777777" w:rsidR="008133A6" w:rsidRPr="008133A6" w:rsidRDefault="008133A6" w:rsidP="008133A6">
      <w:pPr>
        <w:tabs>
          <w:tab w:val="left" w:pos="2918"/>
        </w:tabs>
      </w:pPr>
      <w:r w:rsidRPr="008133A6">
        <w:t>Lei 17.708/21.</w:t>
      </w:r>
    </w:p>
    <w:p w14:paraId="1434E0A9" w14:textId="77777777" w:rsidR="008133A6" w:rsidRPr="008133A6" w:rsidRDefault="008133A6" w:rsidP="008133A6">
      <w:pPr>
        <w:tabs>
          <w:tab w:val="left" w:pos="2918"/>
        </w:tabs>
      </w:pPr>
      <w:r w:rsidRPr="008133A6">
        <w:t>2. CRISTHIANI FIGUEIRA, RF 639.916.9, do cargo de Chefe de Equipe I, Ref. CDA-2, da Seção de Acordos de Negação Judicial e Extrajudicial e Inviabilização Automática - FISC-123, da Subprocuradoria de Cobrança Judicial - FISC-12, da Procuradoria de Ajuizamento e Cobrança - FISC-1, do Departamento Fiscal - FISC, da Procuradoria Geral do Município, vaga 23732, critérios gerais estabelecidos na Lei 17.708/21.</w:t>
      </w:r>
    </w:p>
    <w:p w14:paraId="4B9B7555" w14:textId="77777777" w:rsidR="008133A6" w:rsidRPr="008133A6" w:rsidRDefault="008133A6" w:rsidP="008133A6">
      <w:pPr>
        <w:tabs>
          <w:tab w:val="left" w:pos="2918"/>
        </w:tabs>
      </w:pPr>
      <w:r w:rsidRPr="008133A6">
        <w:t>PREFEITURA DO MUNICÍPIO DE SÃO PAULO, aos 20 de agosto de 2026, 473° da fundação de São Paulo.</w:t>
      </w:r>
    </w:p>
    <w:p w14:paraId="25F111BA" w14:textId="77777777" w:rsidR="008133A6" w:rsidRPr="008133A6" w:rsidRDefault="008133A6" w:rsidP="008133A6">
      <w:pPr>
        <w:tabs>
          <w:tab w:val="left" w:pos="2918"/>
        </w:tabs>
      </w:pPr>
      <w:r w:rsidRPr="008133A6">
        <w:t>RICARDO NUNES</w:t>
      </w:r>
    </w:p>
    <w:p w14:paraId="2C41C9DD" w14:textId="77777777" w:rsidR="008133A6" w:rsidRPr="008133A6" w:rsidRDefault="008133A6" w:rsidP="008133A6">
      <w:pPr>
        <w:tabs>
          <w:tab w:val="left" w:pos="2918"/>
        </w:tabs>
      </w:pPr>
      <w:r w:rsidRPr="008133A6">
        <w:t>Prefeito</w:t>
      </w:r>
    </w:p>
    <w:p w14:paraId="61346453" w14:textId="72E9ED16" w:rsidR="00B41697" w:rsidRDefault="008133A6" w:rsidP="008133A6">
      <w:pPr>
        <w:tabs>
          <w:tab w:val="left" w:pos="2918"/>
        </w:tabs>
      </w:pPr>
      <w:r w:rsidRPr="008133A6">
        <w:t xml:space="preserve">O seguinte documento </w:t>
      </w:r>
      <w:proofErr w:type="spellStart"/>
      <w:r w:rsidRPr="008133A6">
        <w:t>publico</w:t>
      </w:r>
      <w:proofErr w:type="spellEnd"/>
      <w:r w:rsidRPr="008133A6">
        <w:t xml:space="preserve"> integra este ato 163380193</w:t>
      </w:r>
    </w:p>
    <w:p w14:paraId="1B706666" w14:textId="77777777" w:rsidR="008133A6" w:rsidRDefault="008133A6" w:rsidP="008133A6">
      <w:pPr>
        <w:tabs>
          <w:tab w:val="left" w:pos="2918"/>
        </w:tabs>
      </w:pPr>
    </w:p>
    <w:p w14:paraId="113E8959" w14:textId="77777777" w:rsidR="008133A6" w:rsidRPr="008133A6" w:rsidRDefault="008133A6" w:rsidP="008133A6">
      <w:pPr>
        <w:tabs>
          <w:tab w:val="left" w:pos="2918"/>
        </w:tabs>
        <w:rPr>
          <w:b/>
          <w:bCs/>
        </w:rPr>
      </w:pPr>
      <w:r w:rsidRPr="008133A6">
        <w:rPr>
          <w:b/>
          <w:bCs/>
        </w:rPr>
        <w:lastRenderedPageBreak/>
        <w:t>Portaria | Documento: 163524356</w:t>
      </w:r>
    </w:p>
    <w:p w14:paraId="2727D7A7" w14:textId="77777777" w:rsidR="008133A6" w:rsidRDefault="008133A6" w:rsidP="008133A6">
      <w:pPr>
        <w:tabs>
          <w:tab w:val="left" w:pos="2918"/>
        </w:tabs>
      </w:pPr>
      <w:r>
        <w:t>Portaria nº 1171 de 20 de agosto de 2026</w:t>
      </w:r>
    </w:p>
    <w:p w14:paraId="3E88DD9C" w14:textId="77777777" w:rsidR="008133A6" w:rsidRDefault="008133A6" w:rsidP="008133A6">
      <w:pPr>
        <w:tabs>
          <w:tab w:val="left" w:pos="2918"/>
        </w:tabs>
      </w:pPr>
      <w:r>
        <w:t>Processo SEI 6010.2026/0002773-2</w:t>
      </w:r>
    </w:p>
    <w:p w14:paraId="23AA8F80" w14:textId="77777777" w:rsidR="008133A6" w:rsidRDefault="008133A6" w:rsidP="008133A6">
      <w:pPr>
        <w:tabs>
          <w:tab w:val="left" w:pos="2918"/>
        </w:tabs>
      </w:pPr>
      <w:r>
        <w:t>RICARDO NUNES, Prefeito do Município de São Paulo, usando das atribuições que lhe são conferidas por lei,</w:t>
      </w:r>
    </w:p>
    <w:p w14:paraId="614FF591" w14:textId="77777777" w:rsidR="008133A6" w:rsidRDefault="008133A6" w:rsidP="008133A6">
      <w:pPr>
        <w:tabs>
          <w:tab w:val="left" w:pos="2918"/>
        </w:tabs>
      </w:pPr>
      <w:r>
        <w:t>RESOLVE:</w:t>
      </w:r>
    </w:p>
    <w:p w14:paraId="538CB43C" w14:textId="77777777" w:rsidR="008133A6" w:rsidRDefault="008133A6" w:rsidP="008133A6">
      <w:pPr>
        <w:tabs>
          <w:tab w:val="left" w:pos="2918"/>
        </w:tabs>
      </w:pPr>
      <w:r>
        <w:t>EXONERAR</w:t>
      </w:r>
    </w:p>
    <w:p w14:paraId="57EB459A" w14:textId="77777777" w:rsidR="008133A6" w:rsidRDefault="008133A6" w:rsidP="008133A6">
      <w:pPr>
        <w:tabs>
          <w:tab w:val="left" w:pos="2918"/>
        </w:tabs>
      </w:pPr>
      <w:r>
        <w:t>CONTROLADORIA GERAL DO MUNICÍPIO</w:t>
      </w:r>
    </w:p>
    <w:p w14:paraId="3FBFCCDC" w14:textId="77D9FCAF" w:rsidR="008133A6" w:rsidRPr="008133A6" w:rsidRDefault="008133A6" w:rsidP="008133A6">
      <w:pPr>
        <w:tabs>
          <w:tab w:val="left" w:pos="2918"/>
        </w:tabs>
      </w:pPr>
      <w:r>
        <w:t xml:space="preserve">1. BIANCA LISBOA JACOM, RF 859.395.7, a partir de 30/07/2026, do cargo de Diretor I, Ref. CDA-4, da Divisão de Transparência Ativa e Dados Abertos, da Coordenadoria de Promoção da Integridade e Boas </w:t>
      </w:r>
      <w:proofErr w:type="spellStart"/>
      <w:proofErr w:type="gramStart"/>
      <w:r>
        <w:t>Praticas</w:t>
      </w:r>
      <w:proofErr w:type="spellEnd"/>
      <w:proofErr w:type="gramEnd"/>
      <w:r>
        <w:t xml:space="preserve"> - COPI, da Controladoria Geral do Município, vaga 19497, critérios gerais estabelecidos na Lei 17.708/21 e do Decreto 62.809/23.</w:t>
      </w:r>
    </w:p>
    <w:p w14:paraId="31AFD73A" w14:textId="77777777" w:rsidR="008133A6" w:rsidRDefault="008133A6" w:rsidP="008133A6">
      <w:pPr>
        <w:tabs>
          <w:tab w:val="left" w:pos="2918"/>
        </w:tabs>
      </w:pPr>
      <w:r>
        <w:t>PREFEITURA DO MUNICÍPIO DE SÃO PAULO, aos 20 de agosto de 2026, 473° da fundação de São Paulo.</w:t>
      </w:r>
    </w:p>
    <w:p w14:paraId="41E09DF8" w14:textId="77777777" w:rsidR="008133A6" w:rsidRDefault="008133A6" w:rsidP="008133A6">
      <w:pPr>
        <w:tabs>
          <w:tab w:val="left" w:pos="2918"/>
        </w:tabs>
      </w:pPr>
      <w:r>
        <w:t>RICARDO NUNES</w:t>
      </w:r>
    </w:p>
    <w:p w14:paraId="6118FB06" w14:textId="77777777" w:rsidR="008133A6" w:rsidRDefault="008133A6" w:rsidP="008133A6">
      <w:pPr>
        <w:tabs>
          <w:tab w:val="left" w:pos="2918"/>
        </w:tabs>
      </w:pPr>
      <w:r>
        <w:t>Prefeito</w:t>
      </w:r>
    </w:p>
    <w:p w14:paraId="565B68E7" w14:textId="4E9B20BE" w:rsidR="008133A6" w:rsidRDefault="008133A6" w:rsidP="008133A6">
      <w:pPr>
        <w:tabs>
          <w:tab w:val="left" w:pos="2918"/>
        </w:tabs>
      </w:pPr>
      <w:r>
        <w:t xml:space="preserve">O seguinte documento </w:t>
      </w:r>
      <w:proofErr w:type="spellStart"/>
      <w:r>
        <w:t>publico</w:t>
      </w:r>
      <w:proofErr w:type="spellEnd"/>
      <w:r>
        <w:t xml:space="preserve"> integra este ato 163377239</w:t>
      </w:r>
    </w:p>
    <w:p w14:paraId="168353CF" w14:textId="77777777" w:rsidR="008133A6" w:rsidRDefault="008133A6" w:rsidP="008133A6">
      <w:pPr>
        <w:tabs>
          <w:tab w:val="left" w:pos="2918"/>
        </w:tabs>
        <w:ind w:firstLine="708"/>
      </w:pPr>
    </w:p>
    <w:p w14:paraId="428A716D" w14:textId="77777777" w:rsidR="008133A6" w:rsidRPr="008133A6" w:rsidRDefault="008133A6" w:rsidP="008133A6">
      <w:pPr>
        <w:rPr>
          <w:b/>
          <w:bCs/>
        </w:rPr>
      </w:pPr>
      <w:r w:rsidRPr="008133A6">
        <w:rPr>
          <w:b/>
          <w:bCs/>
        </w:rPr>
        <w:t>Portaria | Documento: 163524477</w:t>
      </w:r>
    </w:p>
    <w:p w14:paraId="542E3EC2" w14:textId="77777777" w:rsidR="008133A6" w:rsidRPr="008133A6" w:rsidRDefault="008133A6" w:rsidP="008133A6">
      <w:r w:rsidRPr="008133A6">
        <w:t>Portaria nº 1174 de 20 de agosto de 2026</w:t>
      </w:r>
    </w:p>
    <w:p w14:paraId="0D2A825B" w14:textId="77777777" w:rsidR="008133A6" w:rsidRPr="008133A6" w:rsidRDefault="008133A6" w:rsidP="008133A6">
      <w:r w:rsidRPr="008133A6">
        <w:t>Processo SEI 6010.2026/0002773-2</w:t>
      </w:r>
    </w:p>
    <w:p w14:paraId="32D7836C" w14:textId="77777777" w:rsidR="008133A6" w:rsidRPr="008133A6" w:rsidRDefault="008133A6" w:rsidP="008133A6">
      <w:r w:rsidRPr="008133A6">
        <w:t>RICARDO NUNES, Prefeito do Município de São Paulo, usando das atribuições que lhe são conferidas por lei,</w:t>
      </w:r>
    </w:p>
    <w:p w14:paraId="10D9A014" w14:textId="77777777" w:rsidR="008133A6" w:rsidRPr="008133A6" w:rsidRDefault="008133A6" w:rsidP="008133A6">
      <w:r w:rsidRPr="008133A6">
        <w:t xml:space="preserve">R E S O L V </w:t>
      </w:r>
      <w:proofErr w:type="gramStart"/>
      <w:r w:rsidRPr="008133A6">
        <w:t>E :</w:t>
      </w:r>
      <w:proofErr w:type="gramEnd"/>
    </w:p>
    <w:p w14:paraId="07DECA94" w14:textId="77777777" w:rsidR="008133A6" w:rsidRPr="008133A6" w:rsidRDefault="008133A6" w:rsidP="008133A6">
      <w:r w:rsidRPr="008133A6">
        <w:t>EXONERAR</w:t>
      </w:r>
    </w:p>
    <w:p w14:paraId="3927E133" w14:textId="090E42CC" w:rsidR="008133A6" w:rsidRDefault="008133A6" w:rsidP="008133A6">
      <w:r w:rsidRPr="008133A6">
        <w:t>SECRETARIA MUNICIPAL DE EDUCAÇÃO</w:t>
      </w:r>
    </w:p>
    <w:p w14:paraId="0C9EDFC5" w14:textId="77777777" w:rsidR="008133A6" w:rsidRDefault="008133A6" w:rsidP="008133A6">
      <w:r>
        <w:t>9. SILVANA DOS SANTOS SILVA, RF 770.571.9, vínculo 1, a pedido e a partir de 12/08/2026, do cargo de Diretor I, Ref. CDA-4, da Divisão Pedagógica - DIPED, da Diretoria Regional de Educação Guaianases, da Secretaria Municipal de Educação, vaga 24707.</w:t>
      </w:r>
    </w:p>
    <w:p w14:paraId="45FB2FFB" w14:textId="77777777" w:rsidR="008133A6" w:rsidRDefault="008133A6" w:rsidP="008133A6">
      <w:r>
        <w:lastRenderedPageBreak/>
        <w:t>PREFEITURA DO MUNICÍPIO DE SÃO PAULO, aos 20 de agosto de 2026, 473°da fundação de São Paulo.</w:t>
      </w:r>
    </w:p>
    <w:p w14:paraId="506C787D" w14:textId="77777777" w:rsidR="008133A6" w:rsidRDefault="008133A6" w:rsidP="008133A6">
      <w:r>
        <w:t>RICARDO NUNES</w:t>
      </w:r>
    </w:p>
    <w:p w14:paraId="6C57381D" w14:textId="77777777" w:rsidR="008133A6" w:rsidRDefault="008133A6" w:rsidP="008133A6">
      <w:r>
        <w:t>Prefeito</w:t>
      </w:r>
    </w:p>
    <w:p w14:paraId="7CC742B7" w14:textId="69108F2B" w:rsidR="008133A6" w:rsidRDefault="008133A6" w:rsidP="008133A6">
      <w:r>
        <w:t xml:space="preserve">O seguinte documento </w:t>
      </w:r>
      <w:proofErr w:type="spellStart"/>
      <w:r>
        <w:t>publico</w:t>
      </w:r>
      <w:proofErr w:type="spellEnd"/>
      <w:r>
        <w:t xml:space="preserve"> integra este ato 163449596</w:t>
      </w:r>
    </w:p>
    <w:p w14:paraId="4F6D74EF" w14:textId="77777777" w:rsidR="008133A6" w:rsidRDefault="008133A6" w:rsidP="008133A6"/>
    <w:p w14:paraId="2686CEBB" w14:textId="77777777" w:rsidR="008133A6" w:rsidRPr="008133A6" w:rsidRDefault="008133A6" w:rsidP="008133A6">
      <w:pPr>
        <w:rPr>
          <w:b/>
          <w:bCs/>
        </w:rPr>
      </w:pPr>
      <w:r w:rsidRPr="008133A6">
        <w:rPr>
          <w:b/>
          <w:bCs/>
        </w:rPr>
        <w:t>Portaria | Documento: 163524635</w:t>
      </w:r>
    </w:p>
    <w:p w14:paraId="1CB5B480" w14:textId="77777777" w:rsidR="008133A6" w:rsidRDefault="008133A6" w:rsidP="008133A6">
      <w:r>
        <w:t>Portaria nº 1175 de 20 de agosto de 2026</w:t>
      </w:r>
    </w:p>
    <w:p w14:paraId="01DA60CE" w14:textId="77777777" w:rsidR="008133A6" w:rsidRDefault="008133A6" w:rsidP="008133A6">
      <w:r>
        <w:t>Processo SEI 6010.2026/0002773-2</w:t>
      </w:r>
    </w:p>
    <w:p w14:paraId="31C06B32" w14:textId="77777777" w:rsidR="008133A6" w:rsidRDefault="008133A6" w:rsidP="008133A6">
      <w:r>
        <w:t>RICARDO NUNES, Prefeito do Município de São Paulo, usando das atribuições que lhe são conferidas por lei,</w:t>
      </w:r>
    </w:p>
    <w:p w14:paraId="3DDD2506" w14:textId="77777777" w:rsidR="008133A6" w:rsidRDefault="008133A6" w:rsidP="008133A6">
      <w:r>
        <w:t>RESOLVE:</w:t>
      </w:r>
    </w:p>
    <w:p w14:paraId="67E22913" w14:textId="77777777" w:rsidR="008133A6" w:rsidRDefault="008133A6" w:rsidP="008133A6">
      <w:r>
        <w:t>EXONERAR</w:t>
      </w:r>
    </w:p>
    <w:p w14:paraId="6A4EAC32" w14:textId="77777777" w:rsidR="008133A6" w:rsidRDefault="008133A6" w:rsidP="008133A6">
      <w:r>
        <w:t>SECRETARIA MUNICIPAL DE SEGURANÇA URBANA</w:t>
      </w:r>
    </w:p>
    <w:p w14:paraId="6F8F7FCD" w14:textId="6730E263" w:rsidR="008133A6" w:rsidRDefault="008133A6" w:rsidP="008133A6">
      <w:r>
        <w:t>1. MARCOS ANTONIO BARRANCO, RF 569.280.6, do cargo de Diretor I, Ref. CDA-4, da Divisão de Sindicâncias Administrativas, da Corregedoria Geral da Guarda Civil Metropolitana, da Secretaria Municipal de Segurança Urbana, vaga 22252, critérios gerais estabelecidos na Lei 17.708/21, dos Decretos 61.242/22, 61.496/22 e 63.390/24.</w:t>
      </w:r>
    </w:p>
    <w:p w14:paraId="32EC44F2" w14:textId="77777777" w:rsidR="008133A6" w:rsidRDefault="008133A6" w:rsidP="008133A6">
      <w:r>
        <w:t>PREFEITURA DO MUNICÍPIO DE SÃO PAULO, aos 20 de agosto de 2026, 473° da fundação de São Paulo.</w:t>
      </w:r>
    </w:p>
    <w:p w14:paraId="2D1DCFA8" w14:textId="77777777" w:rsidR="008133A6" w:rsidRDefault="008133A6" w:rsidP="008133A6">
      <w:r>
        <w:t>RICARDO NUNES</w:t>
      </w:r>
    </w:p>
    <w:p w14:paraId="6BB42E67" w14:textId="77777777" w:rsidR="008133A6" w:rsidRDefault="008133A6" w:rsidP="008133A6">
      <w:r>
        <w:t>Prefeito</w:t>
      </w:r>
    </w:p>
    <w:p w14:paraId="0EBC09DD" w14:textId="5ED32EF6" w:rsidR="008133A6" w:rsidRPr="008133A6" w:rsidRDefault="008133A6" w:rsidP="008133A6">
      <w:r>
        <w:t xml:space="preserve">O seguinte documento </w:t>
      </w:r>
      <w:proofErr w:type="spellStart"/>
      <w:r>
        <w:t>publico</w:t>
      </w:r>
      <w:proofErr w:type="spellEnd"/>
      <w:r>
        <w:t xml:space="preserve"> integra este ato 163404085</w:t>
      </w:r>
    </w:p>
    <w:p w14:paraId="2CB31690" w14:textId="77777777" w:rsidR="008133A6" w:rsidRDefault="008133A6" w:rsidP="00B41697">
      <w:pPr>
        <w:rPr>
          <w:b/>
          <w:bCs/>
          <w:u w:val="single"/>
        </w:rPr>
      </w:pPr>
    </w:p>
    <w:p w14:paraId="524872C3" w14:textId="3043EEAB" w:rsidR="00B41697" w:rsidRPr="00B41697" w:rsidRDefault="00B41697" w:rsidP="00B41697">
      <w:pPr>
        <w:rPr>
          <w:b/>
          <w:bCs/>
          <w:u w:val="single"/>
        </w:rPr>
      </w:pPr>
      <w:r w:rsidRPr="00B41697">
        <w:rPr>
          <w:b/>
          <w:bCs/>
          <w:u w:val="single"/>
        </w:rPr>
        <w:t>PORTARIA DO CHEFE DE GABINETE DO PREFEITO</w:t>
      </w:r>
    </w:p>
    <w:p w14:paraId="3CC68486" w14:textId="77777777" w:rsidR="008133A6" w:rsidRPr="008133A6" w:rsidRDefault="008133A6" w:rsidP="008133A6">
      <w:pPr>
        <w:tabs>
          <w:tab w:val="left" w:pos="2918"/>
        </w:tabs>
        <w:rPr>
          <w:b/>
          <w:bCs/>
        </w:rPr>
      </w:pPr>
      <w:r w:rsidRPr="008133A6">
        <w:rPr>
          <w:b/>
          <w:bCs/>
        </w:rPr>
        <w:t>Portaria do Chefe de Gabinete do Prefeito | Documento: 163524803</w:t>
      </w:r>
    </w:p>
    <w:p w14:paraId="26D6D1E3" w14:textId="77777777" w:rsidR="008133A6" w:rsidRPr="008133A6" w:rsidRDefault="008133A6" w:rsidP="008133A6">
      <w:pPr>
        <w:tabs>
          <w:tab w:val="left" w:pos="2918"/>
        </w:tabs>
      </w:pPr>
      <w:r w:rsidRPr="008133A6">
        <w:t>Portaria nº 221 de 20 de agosto de 2026</w:t>
      </w:r>
    </w:p>
    <w:p w14:paraId="1A3EB6B4" w14:textId="77777777" w:rsidR="008133A6" w:rsidRPr="008133A6" w:rsidRDefault="008133A6" w:rsidP="008133A6">
      <w:pPr>
        <w:tabs>
          <w:tab w:val="left" w:pos="2918"/>
        </w:tabs>
      </w:pPr>
      <w:r w:rsidRPr="008133A6">
        <w:t>Processo SEI 6011.2026/0001969-7</w:t>
      </w:r>
    </w:p>
    <w:p w14:paraId="72F3C492" w14:textId="77777777" w:rsidR="008133A6" w:rsidRPr="008133A6" w:rsidRDefault="008133A6" w:rsidP="008133A6">
      <w:pPr>
        <w:tabs>
          <w:tab w:val="left" w:pos="2918"/>
        </w:tabs>
      </w:pPr>
      <w:r w:rsidRPr="008133A6">
        <w:t>VITOR DE ALMEIDA SAMPAIO, Chefe de Gabinete do Prefeito, usando das atribuições conferidas pela alínea “b” do inciso I</w:t>
      </w:r>
    </w:p>
    <w:p w14:paraId="0CC90330" w14:textId="77777777" w:rsidR="008133A6" w:rsidRPr="008133A6" w:rsidRDefault="008133A6" w:rsidP="008133A6">
      <w:pPr>
        <w:tabs>
          <w:tab w:val="left" w:pos="2918"/>
        </w:tabs>
      </w:pPr>
      <w:r w:rsidRPr="008133A6">
        <w:lastRenderedPageBreak/>
        <w:t>do art. 1º do Decreto nº 58.696, de 3 de abril de 2019,</w:t>
      </w:r>
    </w:p>
    <w:p w14:paraId="168BFC84" w14:textId="77777777" w:rsidR="008133A6" w:rsidRPr="008133A6" w:rsidRDefault="008133A6" w:rsidP="008133A6">
      <w:pPr>
        <w:tabs>
          <w:tab w:val="left" w:pos="2918"/>
        </w:tabs>
      </w:pPr>
      <w:r w:rsidRPr="008133A6">
        <w:t>RESOLVE:</w:t>
      </w:r>
    </w:p>
    <w:p w14:paraId="136310A6" w14:textId="77777777" w:rsidR="008133A6" w:rsidRPr="008133A6" w:rsidRDefault="008133A6" w:rsidP="008133A6">
      <w:pPr>
        <w:tabs>
          <w:tab w:val="left" w:pos="2918"/>
        </w:tabs>
      </w:pPr>
      <w:r w:rsidRPr="008133A6">
        <w:t>Designar o senhor FÁBIO AUGUSTO MARTINS LEPIQUE, RF 753.010.2, para, no período de 20 a 24 de agosto de 2026,</w:t>
      </w:r>
    </w:p>
    <w:p w14:paraId="5A8268B9" w14:textId="77777777" w:rsidR="008133A6" w:rsidRPr="008133A6" w:rsidRDefault="008133A6" w:rsidP="008133A6">
      <w:pPr>
        <w:tabs>
          <w:tab w:val="left" w:pos="2918"/>
        </w:tabs>
      </w:pPr>
      <w:r w:rsidRPr="008133A6">
        <w:t xml:space="preserve">substituir o senhor EDSON APARECIDO DOS SANTOS, RF 760.882.9, no cargo de Secretário Municipal, referência SM, da Secretaria do Governo Municipal, em virtude de seu afastamento para realizar visita técnica ao circuito de Hungaroring, participar do Grande Prêmio da Holanda de Fórmula 1 e conduzir reuniões institucionais com os representantes da Fórmula 1, nas cidades de </w:t>
      </w:r>
      <w:proofErr w:type="spellStart"/>
      <w:r w:rsidRPr="008133A6">
        <w:t>Mogyoród</w:t>
      </w:r>
      <w:proofErr w:type="spellEnd"/>
      <w:r w:rsidRPr="008133A6">
        <w:t xml:space="preserve"> (Hungria) e Zandvoort (Holanda).</w:t>
      </w:r>
    </w:p>
    <w:p w14:paraId="57F878CB" w14:textId="77777777" w:rsidR="008133A6" w:rsidRPr="008133A6" w:rsidRDefault="008133A6" w:rsidP="008133A6">
      <w:pPr>
        <w:tabs>
          <w:tab w:val="left" w:pos="2918"/>
        </w:tabs>
      </w:pPr>
      <w:r w:rsidRPr="008133A6">
        <w:t>VITOR DE ALMEIDA SAMPAIO</w:t>
      </w:r>
    </w:p>
    <w:p w14:paraId="723ED9B0" w14:textId="77777777" w:rsidR="008133A6" w:rsidRPr="008133A6" w:rsidRDefault="008133A6" w:rsidP="008133A6">
      <w:pPr>
        <w:tabs>
          <w:tab w:val="left" w:pos="2918"/>
        </w:tabs>
      </w:pPr>
      <w:r w:rsidRPr="008133A6">
        <w:t>Chefe de Gabinete do Prefeito</w:t>
      </w:r>
    </w:p>
    <w:p w14:paraId="57A21515" w14:textId="48B7E1E4" w:rsidR="008133A6" w:rsidRDefault="008133A6" w:rsidP="00B41697">
      <w:pPr>
        <w:tabs>
          <w:tab w:val="left" w:pos="2918"/>
        </w:tabs>
      </w:pPr>
      <w:r w:rsidRPr="008133A6">
        <w:t>O seguinte documento público integra este ato 163463528.</w:t>
      </w:r>
    </w:p>
    <w:p w14:paraId="2EE22833" w14:textId="77777777" w:rsidR="008133A6" w:rsidRDefault="008133A6" w:rsidP="00B41697">
      <w:pPr>
        <w:tabs>
          <w:tab w:val="left" w:pos="2918"/>
        </w:tabs>
      </w:pPr>
    </w:p>
    <w:p w14:paraId="17F5A965" w14:textId="410788C8" w:rsidR="00B41697" w:rsidRDefault="00B41697" w:rsidP="00B41697">
      <w:pPr>
        <w:tabs>
          <w:tab w:val="left" w:pos="2918"/>
        </w:tabs>
        <w:rPr>
          <w:b/>
          <w:bCs/>
          <w:u w:val="single"/>
        </w:rPr>
      </w:pPr>
      <w:r w:rsidRPr="00B15311">
        <w:rPr>
          <w:b/>
          <w:bCs/>
          <w:u w:val="single"/>
        </w:rPr>
        <w:t>TÍTULOS DE NOMEAÇÃO</w:t>
      </w:r>
    </w:p>
    <w:p w14:paraId="2AFF7360" w14:textId="77777777" w:rsidR="008133A6" w:rsidRPr="008133A6" w:rsidRDefault="008133A6" w:rsidP="008133A6">
      <w:pPr>
        <w:tabs>
          <w:tab w:val="left" w:pos="2918"/>
        </w:tabs>
        <w:rPr>
          <w:b/>
          <w:bCs/>
        </w:rPr>
      </w:pPr>
      <w:r w:rsidRPr="008133A6">
        <w:rPr>
          <w:b/>
          <w:bCs/>
        </w:rPr>
        <w:t>Título de Nomeação | Documento: 163524258</w:t>
      </w:r>
    </w:p>
    <w:p w14:paraId="24F9E7D8" w14:textId="77777777" w:rsidR="008133A6" w:rsidRPr="008133A6" w:rsidRDefault="008133A6" w:rsidP="008133A6">
      <w:pPr>
        <w:tabs>
          <w:tab w:val="left" w:pos="2918"/>
        </w:tabs>
      </w:pPr>
      <w:r w:rsidRPr="008133A6">
        <w:t>Título de Nomeação nº 670 de 20 de agosto de 2026</w:t>
      </w:r>
    </w:p>
    <w:p w14:paraId="22400543" w14:textId="77777777" w:rsidR="008133A6" w:rsidRPr="008133A6" w:rsidRDefault="008133A6" w:rsidP="008133A6">
      <w:pPr>
        <w:tabs>
          <w:tab w:val="left" w:pos="2918"/>
        </w:tabs>
      </w:pPr>
      <w:r w:rsidRPr="008133A6">
        <w:t>Processo SEI 6010.2026/0002773-2</w:t>
      </w:r>
    </w:p>
    <w:p w14:paraId="0D16B33C" w14:textId="77777777" w:rsidR="008133A6" w:rsidRPr="008133A6" w:rsidRDefault="008133A6" w:rsidP="008133A6">
      <w:pPr>
        <w:tabs>
          <w:tab w:val="left" w:pos="2918"/>
        </w:tabs>
      </w:pPr>
      <w:r w:rsidRPr="008133A6">
        <w:t>RICARDO NUNES, Prefeito do Município de São Paulo, usando das atribuições que lhe são conferidas por lei,</w:t>
      </w:r>
    </w:p>
    <w:p w14:paraId="3AE6BABF" w14:textId="77777777" w:rsidR="008133A6" w:rsidRPr="008133A6" w:rsidRDefault="008133A6" w:rsidP="008133A6">
      <w:pPr>
        <w:tabs>
          <w:tab w:val="left" w:pos="2918"/>
        </w:tabs>
      </w:pPr>
      <w:r w:rsidRPr="008133A6">
        <w:t>RESOLVE:</w:t>
      </w:r>
    </w:p>
    <w:p w14:paraId="409702D6" w14:textId="77777777" w:rsidR="008133A6" w:rsidRPr="008133A6" w:rsidRDefault="008133A6" w:rsidP="008133A6">
      <w:pPr>
        <w:tabs>
          <w:tab w:val="left" w:pos="2918"/>
        </w:tabs>
      </w:pPr>
      <w:r w:rsidRPr="008133A6">
        <w:t>NOMEAR</w:t>
      </w:r>
    </w:p>
    <w:p w14:paraId="2D594D47" w14:textId="7C549039" w:rsidR="00B15311" w:rsidRDefault="008133A6" w:rsidP="008133A6">
      <w:pPr>
        <w:tabs>
          <w:tab w:val="left" w:pos="2918"/>
        </w:tabs>
      </w:pPr>
      <w:r w:rsidRPr="008133A6">
        <w:t>PROCURADORIA GERAL DO MUNICÍPIO</w:t>
      </w:r>
    </w:p>
    <w:p w14:paraId="30849D68" w14:textId="77777777" w:rsidR="008133A6" w:rsidRDefault="008133A6" w:rsidP="008133A6">
      <w:pPr>
        <w:tabs>
          <w:tab w:val="left" w:pos="2918"/>
        </w:tabs>
      </w:pPr>
      <w:r>
        <w:t>3. EMY NAGUMO, RF 725.405.9, para exercer o cargo de Chefe de Equipe I, Ref. CDA-2, da Seção de Acordos de Negação Judicial e</w:t>
      </w:r>
    </w:p>
    <w:p w14:paraId="6A97741F" w14:textId="77777777" w:rsidR="008133A6" w:rsidRDefault="008133A6" w:rsidP="008133A6">
      <w:pPr>
        <w:tabs>
          <w:tab w:val="left" w:pos="2918"/>
        </w:tabs>
      </w:pPr>
      <w:r>
        <w:t>Extrajudicial e Inviabilização Automática - FISC-123, da Subprocuradoria de Cobrança Judicial - FISC-12, da Procuradoria de Ajuizamento e Cobrança - FISC-1, do Departamento Fiscal - FISC, da Procuradoria Geral do Município, vaga 23732, critérios gerais estabelecidos na Lei 17.708/21.</w:t>
      </w:r>
    </w:p>
    <w:p w14:paraId="4F4EC531" w14:textId="77777777" w:rsidR="008133A6" w:rsidRDefault="008133A6" w:rsidP="008133A6">
      <w:pPr>
        <w:tabs>
          <w:tab w:val="left" w:pos="2918"/>
        </w:tabs>
      </w:pPr>
      <w:r>
        <w:t>PREFEITURA DO MUNICÍPIO DE SÃO PAULO, aos 20 de agosto de 2026, 473° da fundação de São Paulo.</w:t>
      </w:r>
    </w:p>
    <w:p w14:paraId="1BEFD347" w14:textId="77777777" w:rsidR="008133A6" w:rsidRDefault="008133A6" w:rsidP="008133A6">
      <w:pPr>
        <w:tabs>
          <w:tab w:val="left" w:pos="2918"/>
        </w:tabs>
      </w:pPr>
      <w:r>
        <w:t>RICARDO NUNES</w:t>
      </w:r>
    </w:p>
    <w:p w14:paraId="5A89028A" w14:textId="77777777" w:rsidR="008133A6" w:rsidRDefault="008133A6" w:rsidP="008133A6">
      <w:pPr>
        <w:tabs>
          <w:tab w:val="left" w:pos="2918"/>
        </w:tabs>
      </w:pPr>
      <w:r>
        <w:lastRenderedPageBreak/>
        <w:t>Prefeito</w:t>
      </w:r>
    </w:p>
    <w:p w14:paraId="2150AD1A" w14:textId="5533475E" w:rsidR="008133A6" w:rsidRDefault="008133A6" w:rsidP="008133A6">
      <w:pPr>
        <w:tabs>
          <w:tab w:val="left" w:pos="2918"/>
        </w:tabs>
      </w:pPr>
      <w:r>
        <w:t>O seguinte documento público integra este ato 163380993.</w:t>
      </w:r>
    </w:p>
    <w:p w14:paraId="2C5CF682" w14:textId="77777777" w:rsidR="008133A6" w:rsidRDefault="008133A6" w:rsidP="008133A6">
      <w:pPr>
        <w:tabs>
          <w:tab w:val="left" w:pos="2918"/>
        </w:tabs>
      </w:pPr>
    </w:p>
    <w:p w14:paraId="47F08E97" w14:textId="77777777" w:rsidR="008133A6" w:rsidRPr="008133A6" w:rsidRDefault="008133A6" w:rsidP="008133A6">
      <w:pPr>
        <w:tabs>
          <w:tab w:val="left" w:pos="2918"/>
        </w:tabs>
        <w:rPr>
          <w:b/>
          <w:bCs/>
        </w:rPr>
      </w:pPr>
      <w:r w:rsidRPr="008133A6">
        <w:rPr>
          <w:b/>
          <w:bCs/>
        </w:rPr>
        <w:t>Título de Nomeação | Documento: 163524361</w:t>
      </w:r>
    </w:p>
    <w:p w14:paraId="729B023B" w14:textId="77777777" w:rsidR="008133A6" w:rsidRDefault="008133A6" w:rsidP="008133A6">
      <w:pPr>
        <w:tabs>
          <w:tab w:val="left" w:pos="2918"/>
        </w:tabs>
      </w:pPr>
      <w:r>
        <w:t>Título de Nomeação nº 673 de 20 de agosto de 2026</w:t>
      </w:r>
    </w:p>
    <w:p w14:paraId="3FB1874C" w14:textId="77777777" w:rsidR="008133A6" w:rsidRDefault="008133A6" w:rsidP="008133A6">
      <w:pPr>
        <w:tabs>
          <w:tab w:val="left" w:pos="2918"/>
        </w:tabs>
      </w:pPr>
      <w:r>
        <w:t>Processo SEI 6010.2026/0002773-2</w:t>
      </w:r>
    </w:p>
    <w:p w14:paraId="18A03DD0" w14:textId="77777777" w:rsidR="008133A6" w:rsidRDefault="008133A6" w:rsidP="008133A6">
      <w:pPr>
        <w:tabs>
          <w:tab w:val="left" w:pos="2918"/>
        </w:tabs>
      </w:pPr>
      <w:r>
        <w:t>RICARDO NUNES, Prefeito do Município de São Paulo, usando das atribuições que lhe são conferidas por lei,</w:t>
      </w:r>
    </w:p>
    <w:p w14:paraId="567007D0" w14:textId="77777777" w:rsidR="008133A6" w:rsidRDefault="008133A6" w:rsidP="008133A6">
      <w:pPr>
        <w:tabs>
          <w:tab w:val="left" w:pos="2918"/>
        </w:tabs>
      </w:pPr>
      <w:r>
        <w:t>RESOLVE:</w:t>
      </w:r>
    </w:p>
    <w:p w14:paraId="22E899B2" w14:textId="77777777" w:rsidR="008133A6" w:rsidRDefault="008133A6" w:rsidP="008133A6">
      <w:pPr>
        <w:tabs>
          <w:tab w:val="left" w:pos="2918"/>
        </w:tabs>
      </w:pPr>
      <w:r>
        <w:t>Nomear a senhora SILVIA APARECIDA DE MATOS DEL NERO, RG 24.178.XXX-3-SSP/SP, para exercer o cargo de Diretor I, Ref. CDA-4, da Supervisão de Gestão de Pessoa, da Coordenação de Administração e Finanças, da Secretaria Municipal da Pessoa com</w:t>
      </w:r>
    </w:p>
    <w:p w14:paraId="505D010D" w14:textId="77777777" w:rsidR="008133A6" w:rsidRDefault="008133A6" w:rsidP="008133A6">
      <w:pPr>
        <w:tabs>
          <w:tab w:val="left" w:pos="2918"/>
        </w:tabs>
      </w:pPr>
      <w:r>
        <w:t>Deficiência, vaga 22379, critérios gerais estabelecidos na Lei 17.708/21.</w:t>
      </w:r>
    </w:p>
    <w:p w14:paraId="1AFE4331" w14:textId="77777777" w:rsidR="008133A6" w:rsidRDefault="008133A6" w:rsidP="008133A6">
      <w:pPr>
        <w:tabs>
          <w:tab w:val="left" w:pos="2918"/>
        </w:tabs>
      </w:pPr>
      <w:r>
        <w:t>PREFEITURA DO MUNICÍPIO DE SÃO PAULO, aos 20 de agosto de 2026, 473° da fundação de São Paulo.</w:t>
      </w:r>
    </w:p>
    <w:p w14:paraId="27645EC2" w14:textId="77777777" w:rsidR="008133A6" w:rsidRDefault="008133A6" w:rsidP="008133A6">
      <w:pPr>
        <w:tabs>
          <w:tab w:val="left" w:pos="2918"/>
        </w:tabs>
      </w:pPr>
      <w:r>
        <w:t>RICARDO NUNES</w:t>
      </w:r>
    </w:p>
    <w:p w14:paraId="5093F58B" w14:textId="77777777" w:rsidR="008133A6" w:rsidRDefault="008133A6" w:rsidP="008133A6">
      <w:pPr>
        <w:tabs>
          <w:tab w:val="left" w:pos="2918"/>
        </w:tabs>
      </w:pPr>
      <w:r>
        <w:t>Prefeito</w:t>
      </w:r>
    </w:p>
    <w:p w14:paraId="3F94EC8D" w14:textId="573FB0C2" w:rsidR="008133A6" w:rsidRDefault="008133A6" w:rsidP="008133A6">
      <w:pPr>
        <w:tabs>
          <w:tab w:val="left" w:pos="2918"/>
        </w:tabs>
      </w:pPr>
      <w:r>
        <w:t>O seguinte documento público integra este ato 163401922.</w:t>
      </w:r>
    </w:p>
    <w:p w14:paraId="09AB9153" w14:textId="77777777" w:rsidR="008133A6" w:rsidRDefault="008133A6" w:rsidP="008133A6">
      <w:pPr>
        <w:tabs>
          <w:tab w:val="left" w:pos="2918"/>
        </w:tabs>
      </w:pPr>
    </w:p>
    <w:p w14:paraId="5C68199F" w14:textId="77777777" w:rsidR="008133A6" w:rsidRPr="008133A6" w:rsidRDefault="008133A6" w:rsidP="008133A6">
      <w:pPr>
        <w:tabs>
          <w:tab w:val="left" w:pos="2918"/>
        </w:tabs>
        <w:rPr>
          <w:b/>
          <w:bCs/>
        </w:rPr>
      </w:pPr>
      <w:r w:rsidRPr="008133A6">
        <w:rPr>
          <w:b/>
          <w:bCs/>
        </w:rPr>
        <w:t>Título de Nomeação | Documento: 163524391</w:t>
      </w:r>
    </w:p>
    <w:p w14:paraId="20ABC54D" w14:textId="77777777" w:rsidR="008133A6" w:rsidRDefault="008133A6" w:rsidP="008133A6">
      <w:pPr>
        <w:tabs>
          <w:tab w:val="left" w:pos="2918"/>
        </w:tabs>
      </w:pPr>
      <w:r>
        <w:t>Título de Nomeação nº 674 de 20 de agosto de 2026</w:t>
      </w:r>
    </w:p>
    <w:p w14:paraId="78BCDAF5" w14:textId="77777777" w:rsidR="008133A6" w:rsidRDefault="008133A6" w:rsidP="008133A6">
      <w:pPr>
        <w:tabs>
          <w:tab w:val="left" w:pos="2918"/>
        </w:tabs>
      </w:pPr>
      <w:r>
        <w:t>Processo SEI 6010.2026/0002773-2</w:t>
      </w:r>
    </w:p>
    <w:p w14:paraId="0028EDDB" w14:textId="77777777" w:rsidR="008133A6" w:rsidRDefault="008133A6" w:rsidP="008133A6">
      <w:pPr>
        <w:tabs>
          <w:tab w:val="left" w:pos="2918"/>
        </w:tabs>
      </w:pPr>
      <w:r>
        <w:t>RICARDO NUNES, Prefeito do Município de São Paulo, usando das atribuições que lhe são conferidas por lei,</w:t>
      </w:r>
    </w:p>
    <w:p w14:paraId="3D399FFC" w14:textId="77777777" w:rsidR="008133A6" w:rsidRDefault="008133A6" w:rsidP="008133A6">
      <w:pPr>
        <w:tabs>
          <w:tab w:val="left" w:pos="2918"/>
        </w:tabs>
      </w:pPr>
      <w:r>
        <w:t>RESOLVE:</w:t>
      </w:r>
    </w:p>
    <w:p w14:paraId="66BB4D94" w14:textId="77777777" w:rsidR="008133A6" w:rsidRDefault="008133A6" w:rsidP="008133A6">
      <w:pPr>
        <w:tabs>
          <w:tab w:val="left" w:pos="2918"/>
        </w:tabs>
      </w:pPr>
      <w:r>
        <w:t>NOMEAR</w:t>
      </w:r>
    </w:p>
    <w:p w14:paraId="3A9C167C" w14:textId="77777777" w:rsidR="008133A6" w:rsidRDefault="008133A6" w:rsidP="008133A6">
      <w:pPr>
        <w:tabs>
          <w:tab w:val="left" w:pos="2918"/>
        </w:tabs>
      </w:pPr>
      <w:r>
        <w:t>CONTROLADORIA GERAL DO MUNICÍPIO</w:t>
      </w:r>
    </w:p>
    <w:p w14:paraId="1E8E09EC" w14:textId="11176638" w:rsidR="008133A6" w:rsidRPr="008133A6" w:rsidRDefault="008133A6" w:rsidP="008133A6">
      <w:pPr>
        <w:tabs>
          <w:tab w:val="left" w:pos="2918"/>
        </w:tabs>
      </w:pPr>
      <w:r>
        <w:t xml:space="preserve">1. BÁRBARA KELLY LOBO ALVES DE OLIVEIRA, RG/CPF 005.584.XXX-63-IIPCDF/DF, para exercer o cargo de Diretor I, Ref. CDA 4, da Divisão de Transparência Ativa e Dados Abertos, da Coordenadoria de Promoção da Integridade e Boas </w:t>
      </w:r>
      <w:proofErr w:type="spellStart"/>
      <w:proofErr w:type="gramStart"/>
      <w:r>
        <w:t>Praticas</w:t>
      </w:r>
      <w:proofErr w:type="spellEnd"/>
      <w:proofErr w:type="gramEnd"/>
      <w:r>
        <w:t xml:space="preserve"> - </w:t>
      </w:r>
      <w:r>
        <w:lastRenderedPageBreak/>
        <w:t>COPI, da Controladoria Geral do Município, vaga 19497, critérios gerais estabelecidos na Lei 17.708/21 e do Decreto 62.809/23.</w:t>
      </w:r>
    </w:p>
    <w:p w14:paraId="4114490D" w14:textId="77777777" w:rsidR="008133A6" w:rsidRDefault="008133A6" w:rsidP="008133A6">
      <w:pPr>
        <w:tabs>
          <w:tab w:val="left" w:pos="2918"/>
        </w:tabs>
      </w:pPr>
      <w:r>
        <w:t>3. FRANCINEIDE MENDES ROZADO, RF 856.701.8, excepcionalmente, a partir de 03/08/2026, para exercer o cargo de Assessor III, Ref. CDA-3, da Coordenadoria de Administração e Finanças - CAF, da Controladoria Geral do Município, vaga 19638, critérios gerais estabelecidos na Lei 17.708/21 e do Decreto 62.809/23.</w:t>
      </w:r>
    </w:p>
    <w:p w14:paraId="424352C3" w14:textId="77777777" w:rsidR="008133A6" w:rsidRDefault="008133A6" w:rsidP="008133A6">
      <w:pPr>
        <w:tabs>
          <w:tab w:val="left" w:pos="2918"/>
        </w:tabs>
      </w:pPr>
      <w:r>
        <w:t>PREFEITURA DO MUNICÍPIO DE SÃO PAULO, aos 20 de agosto de 2026, 473° da fundação de São Paulo.</w:t>
      </w:r>
    </w:p>
    <w:p w14:paraId="2BCAD0EB" w14:textId="77777777" w:rsidR="008133A6" w:rsidRDefault="008133A6" w:rsidP="008133A6">
      <w:pPr>
        <w:tabs>
          <w:tab w:val="left" w:pos="2918"/>
        </w:tabs>
      </w:pPr>
      <w:r>
        <w:t>RICARDO NUNES</w:t>
      </w:r>
    </w:p>
    <w:p w14:paraId="1EBD8530" w14:textId="77777777" w:rsidR="008133A6" w:rsidRDefault="008133A6" w:rsidP="008133A6">
      <w:pPr>
        <w:tabs>
          <w:tab w:val="left" w:pos="2918"/>
        </w:tabs>
      </w:pPr>
      <w:r>
        <w:t>Prefeito</w:t>
      </w:r>
    </w:p>
    <w:p w14:paraId="18889649" w14:textId="67AB56A8" w:rsidR="008133A6" w:rsidRDefault="008133A6" w:rsidP="008133A6">
      <w:pPr>
        <w:tabs>
          <w:tab w:val="left" w:pos="2918"/>
        </w:tabs>
      </w:pPr>
      <w:r>
        <w:t>O seguinte documento público integra este ato 163377769.</w:t>
      </w:r>
    </w:p>
    <w:p w14:paraId="2BD865D2" w14:textId="77777777" w:rsidR="008133A6" w:rsidRDefault="008133A6" w:rsidP="008133A6">
      <w:pPr>
        <w:tabs>
          <w:tab w:val="left" w:pos="2918"/>
        </w:tabs>
      </w:pPr>
    </w:p>
    <w:p w14:paraId="250266F8" w14:textId="77777777" w:rsidR="008133A6" w:rsidRPr="008133A6" w:rsidRDefault="008133A6" w:rsidP="008133A6">
      <w:pPr>
        <w:tabs>
          <w:tab w:val="left" w:pos="2918"/>
        </w:tabs>
        <w:rPr>
          <w:b/>
          <w:bCs/>
        </w:rPr>
      </w:pPr>
      <w:r w:rsidRPr="008133A6">
        <w:rPr>
          <w:b/>
          <w:bCs/>
        </w:rPr>
        <w:t>Título de Nomeação | Documento: 163524424</w:t>
      </w:r>
    </w:p>
    <w:p w14:paraId="6834FF0C" w14:textId="77777777" w:rsidR="008133A6" w:rsidRDefault="008133A6" w:rsidP="008133A6">
      <w:pPr>
        <w:tabs>
          <w:tab w:val="left" w:pos="2918"/>
        </w:tabs>
      </w:pPr>
      <w:r>
        <w:t>Título de Nomeação nº 675 de 20 de agosto de 2026</w:t>
      </w:r>
    </w:p>
    <w:p w14:paraId="54297016" w14:textId="77777777" w:rsidR="008133A6" w:rsidRDefault="008133A6" w:rsidP="008133A6">
      <w:pPr>
        <w:tabs>
          <w:tab w:val="left" w:pos="2918"/>
        </w:tabs>
      </w:pPr>
      <w:r>
        <w:t>Processo SEI 6010.2026/0002773-2</w:t>
      </w:r>
    </w:p>
    <w:p w14:paraId="54BDD814" w14:textId="77777777" w:rsidR="008133A6" w:rsidRDefault="008133A6" w:rsidP="008133A6">
      <w:pPr>
        <w:tabs>
          <w:tab w:val="left" w:pos="2918"/>
        </w:tabs>
      </w:pPr>
      <w:r>
        <w:t>RICARDO NUNES, Prefeito do Município de São Paulo, usando das atribuições que lhe são conferidas por lei,</w:t>
      </w:r>
    </w:p>
    <w:p w14:paraId="12175A2D" w14:textId="77777777" w:rsidR="008133A6" w:rsidRDefault="008133A6" w:rsidP="008133A6">
      <w:pPr>
        <w:tabs>
          <w:tab w:val="left" w:pos="2918"/>
        </w:tabs>
      </w:pPr>
      <w:r>
        <w:t xml:space="preserve">R E S O L V </w:t>
      </w:r>
      <w:proofErr w:type="gramStart"/>
      <w:r>
        <w:t>E :</w:t>
      </w:r>
      <w:proofErr w:type="gramEnd"/>
    </w:p>
    <w:p w14:paraId="24EB1AD5" w14:textId="77777777" w:rsidR="008133A6" w:rsidRDefault="008133A6" w:rsidP="008133A6">
      <w:pPr>
        <w:tabs>
          <w:tab w:val="left" w:pos="2918"/>
        </w:tabs>
      </w:pPr>
      <w:r>
        <w:t>NOMEAR</w:t>
      </w:r>
    </w:p>
    <w:p w14:paraId="189C1CFE" w14:textId="6A7136D7" w:rsidR="008133A6" w:rsidRDefault="008133A6" w:rsidP="008133A6">
      <w:pPr>
        <w:tabs>
          <w:tab w:val="left" w:pos="2918"/>
        </w:tabs>
      </w:pPr>
      <w:r>
        <w:t>SECRETARIA MUNICIPAL DE EDUCAÇÃO</w:t>
      </w:r>
    </w:p>
    <w:p w14:paraId="33E6CCE5" w14:textId="5DB38929" w:rsidR="00404B18" w:rsidRDefault="00404B18" w:rsidP="008133A6">
      <w:pPr>
        <w:tabs>
          <w:tab w:val="left" w:pos="2918"/>
        </w:tabs>
      </w:pPr>
      <w:r w:rsidRPr="00404B18">
        <w:t>18. JEANE DE CARVALHO MOURA, RF 748.521.2, para exercer o cargo de Diretor I, Ref. CDA-4, da Divisão Pedagógica - DIPED, da Diretoria Regional de Educação Guaianases, da Secretaria Municipal de Educação, vaga 24707.</w:t>
      </w:r>
    </w:p>
    <w:p w14:paraId="22B36A25" w14:textId="77777777" w:rsidR="00404B18" w:rsidRDefault="00404B18" w:rsidP="00404B18">
      <w:pPr>
        <w:tabs>
          <w:tab w:val="left" w:pos="2918"/>
        </w:tabs>
      </w:pPr>
      <w:r>
        <w:t>PREFEITURA DO MUNICÍPIO DE SÃO PAULO, aos 20 de agosto de 2026, 473°da fundação de São Paulo.</w:t>
      </w:r>
    </w:p>
    <w:p w14:paraId="57FBD8BE" w14:textId="77777777" w:rsidR="00404B18" w:rsidRDefault="00404B18" w:rsidP="00404B18">
      <w:pPr>
        <w:tabs>
          <w:tab w:val="left" w:pos="2918"/>
        </w:tabs>
      </w:pPr>
      <w:r>
        <w:t>RICARDO NUNES</w:t>
      </w:r>
    </w:p>
    <w:p w14:paraId="73B6DFEA" w14:textId="77777777" w:rsidR="00404B18" w:rsidRDefault="00404B18" w:rsidP="00404B18">
      <w:pPr>
        <w:tabs>
          <w:tab w:val="left" w:pos="2918"/>
        </w:tabs>
      </w:pPr>
      <w:r>
        <w:t>Prefeito</w:t>
      </w:r>
    </w:p>
    <w:p w14:paraId="1796F834" w14:textId="49B90D9E" w:rsidR="00404B18" w:rsidRDefault="00404B18" w:rsidP="00404B18">
      <w:pPr>
        <w:tabs>
          <w:tab w:val="left" w:pos="2918"/>
        </w:tabs>
      </w:pPr>
      <w:r>
        <w:t>O seguinte documento público integra este ato 163449883</w:t>
      </w:r>
    </w:p>
    <w:p w14:paraId="1629C2C4" w14:textId="77777777" w:rsidR="00404B18" w:rsidRDefault="00404B18" w:rsidP="00404B18">
      <w:pPr>
        <w:tabs>
          <w:tab w:val="left" w:pos="2918"/>
        </w:tabs>
      </w:pPr>
    </w:p>
    <w:p w14:paraId="4EA2CA29" w14:textId="77777777" w:rsidR="00404B18" w:rsidRPr="00404B18" w:rsidRDefault="00404B18" w:rsidP="00404B18">
      <w:pPr>
        <w:tabs>
          <w:tab w:val="left" w:pos="2918"/>
        </w:tabs>
        <w:rPr>
          <w:b/>
          <w:bCs/>
        </w:rPr>
      </w:pPr>
      <w:r w:rsidRPr="00404B18">
        <w:rPr>
          <w:b/>
          <w:bCs/>
        </w:rPr>
        <w:t>Título de Nomeação | Documento: 163524448</w:t>
      </w:r>
    </w:p>
    <w:p w14:paraId="56325E43" w14:textId="77777777" w:rsidR="00404B18" w:rsidRDefault="00404B18" w:rsidP="00404B18">
      <w:pPr>
        <w:tabs>
          <w:tab w:val="left" w:pos="2918"/>
        </w:tabs>
      </w:pPr>
      <w:r>
        <w:t>Título de Nomeação nº 676 de 20 de agosto de 2026</w:t>
      </w:r>
    </w:p>
    <w:p w14:paraId="6557023C" w14:textId="77777777" w:rsidR="00404B18" w:rsidRDefault="00404B18" w:rsidP="00404B18">
      <w:pPr>
        <w:tabs>
          <w:tab w:val="left" w:pos="2918"/>
        </w:tabs>
      </w:pPr>
      <w:r>
        <w:lastRenderedPageBreak/>
        <w:t>Processo SEI 6010.2026/0002773-2</w:t>
      </w:r>
    </w:p>
    <w:p w14:paraId="55FDA617" w14:textId="77777777" w:rsidR="00404B18" w:rsidRDefault="00404B18" w:rsidP="00404B18">
      <w:pPr>
        <w:tabs>
          <w:tab w:val="left" w:pos="2918"/>
        </w:tabs>
      </w:pPr>
      <w:r>
        <w:t>RICARDO NUNES, Prefeito do Município de São Paulo, usando das atribuições que lhe são conferidas por lei,</w:t>
      </w:r>
    </w:p>
    <w:p w14:paraId="7ED9A894" w14:textId="77777777" w:rsidR="00404B18" w:rsidRDefault="00404B18" w:rsidP="00404B18">
      <w:pPr>
        <w:tabs>
          <w:tab w:val="left" w:pos="2918"/>
        </w:tabs>
      </w:pPr>
      <w:r>
        <w:t>RESOLVE:</w:t>
      </w:r>
    </w:p>
    <w:p w14:paraId="7F252900" w14:textId="77777777" w:rsidR="00404B18" w:rsidRDefault="00404B18" w:rsidP="00404B18">
      <w:pPr>
        <w:tabs>
          <w:tab w:val="left" w:pos="2918"/>
        </w:tabs>
      </w:pPr>
      <w:r>
        <w:t>NOMEAR</w:t>
      </w:r>
    </w:p>
    <w:p w14:paraId="4FA2F34A" w14:textId="77777777" w:rsidR="00404B18" w:rsidRDefault="00404B18" w:rsidP="00404B18">
      <w:pPr>
        <w:tabs>
          <w:tab w:val="left" w:pos="2918"/>
        </w:tabs>
      </w:pPr>
      <w:r>
        <w:t>SECRETARIA MUNICIPAL DE SEGURANÇA URBANA</w:t>
      </w:r>
    </w:p>
    <w:p w14:paraId="3551D084" w14:textId="395C3553" w:rsidR="00404B18" w:rsidRDefault="00404B18" w:rsidP="00404B18">
      <w:pPr>
        <w:tabs>
          <w:tab w:val="left" w:pos="2918"/>
        </w:tabs>
      </w:pPr>
      <w:r>
        <w:t>1. ARNALDO PEREIRA, RF 582.648.9, para exercer o cargo de Diretor I, Ref. CDA-4, da Divisão de Sindicâncias Administrativas, da Corregedoria Geral da Guarda Civil Metropolitana, da Secretaria Municipal de Segurança Urbana, vaga 22252, critérios gerais estabelecidos na Lei 17.708/21, dos Decretos 61.242/22, 61.496/22 e 63.390/24.</w:t>
      </w:r>
    </w:p>
    <w:p w14:paraId="6D6BCE6C" w14:textId="77777777" w:rsidR="00404B18" w:rsidRDefault="00404B18" w:rsidP="00404B18">
      <w:pPr>
        <w:tabs>
          <w:tab w:val="left" w:pos="2918"/>
        </w:tabs>
      </w:pPr>
      <w:r>
        <w:t>PREFEITURA DO MUNICÍPIO DE SÃO PAULO, aos 20 de agosto de 2026, 473° da fundação de São Paulo.</w:t>
      </w:r>
    </w:p>
    <w:p w14:paraId="5BDB09A2" w14:textId="77777777" w:rsidR="00404B18" w:rsidRDefault="00404B18" w:rsidP="00404B18">
      <w:pPr>
        <w:tabs>
          <w:tab w:val="left" w:pos="2918"/>
        </w:tabs>
      </w:pPr>
      <w:r>
        <w:t>RICARDO NUNES</w:t>
      </w:r>
    </w:p>
    <w:p w14:paraId="7D0D6430" w14:textId="77777777" w:rsidR="00404B18" w:rsidRDefault="00404B18" w:rsidP="00404B18">
      <w:pPr>
        <w:tabs>
          <w:tab w:val="left" w:pos="2918"/>
        </w:tabs>
      </w:pPr>
      <w:r>
        <w:t>Prefeito</w:t>
      </w:r>
    </w:p>
    <w:p w14:paraId="5B99A5A0" w14:textId="05C98B90" w:rsidR="00404B18" w:rsidRDefault="00404B18" w:rsidP="00404B18">
      <w:r>
        <w:t>O seguinte documento público integra este ato 163407352.</w:t>
      </w:r>
    </w:p>
    <w:p w14:paraId="627ED1D5" w14:textId="77777777" w:rsidR="008133A6" w:rsidRDefault="008133A6" w:rsidP="007901FB">
      <w:pPr>
        <w:tabs>
          <w:tab w:val="left" w:pos="2918"/>
        </w:tabs>
      </w:pPr>
    </w:p>
    <w:p w14:paraId="68D091F0" w14:textId="2293C7F6" w:rsidR="00B15311" w:rsidRDefault="00B15311" w:rsidP="007901FB">
      <w:pPr>
        <w:tabs>
          <w:tab w:val="left" w:pos="2918"/>
        </w:tabs>
        <w:rPr>
          <w:b/>
          <w:bCs/>
          <w:u w:val="single"/>
        </w:rPr>
      </w:pPr>
      <w:r w:rsidRPr="00B15311">
        <w:rPr>
          <w:b/>
          <w:bCs/>
          <w:u w:val="single"/>
        </w:rPr>
        <w:t>SECRETARIA MUNICIPAL DO DESENVOLVIMENTO ECONÔMICO E TRABALHO</w:t>
      </w:r>
    </w:p>
    <w:p w14:paraId="141254D4" w14:textId="77777777" w:rsidR="00404B18" w:rsidRPr="00404B18" w:rsidRDefault="00404B18" w:rsidP="00404B18">
      <w:pPr>
        <w:tabs>
          <w:tab w:val="left" w:pos="2918"/>
        </w:tabs>
        <w:rPr>
          <w:b/>
          <w:bCs/>
        </w:rPr>
      </w:pPr>
      <w:r w:rsidRPr="00404B18">
        <w:rPr>
          <w:b/>
          <w:bCs/>
        </w:rPr>
        <w:t>GABINETE DO SECRETÁRIO</w:t>
      </w:r>
    </w:p>
    <w:p w14:paraId="1E4CFAD8" w14:textId="77777777" w:rsidR="00404B18" w:rsidRPr="00404B18" w:rsidRDefault="00404B18" w:rsidP="00404B18">
      <w:pPr>
        <w:tabs>
          <w:tab w:val="left" w:pos="2918"/>
        </w:tabs>
        <w:rPr>
          <w:b/>
          <w:bCs/>
        </w:rPr>
      </w:pPr>
      <w:r w:rsidRPr="00404B18">
        <w:rPr>
          <w:b/>
          <w:bCs/>
        </w:rPr>
        <w:t>Portaria | Documento: 163399025</w:t>
      </w:r>
    </w:p>
    <w:p w14:paraId="0A40024B" w14:textId="77777777" w:rsidR="00404B18" w:rsidRPr="00404B18" w:rsidRDefault="00404B18" w:rsidP="00404B18">
      <w:pPr>
        <w:tabs>
          <w:tab w:val="left" w:pos="2918"/>
        </w:tabs>
      </w:pPr>
      <w:r w:rsidRPr="00404B18">
        <w:t>PORTARIA SMDET 81, DE 19 DE AGOSTO DE 2026.</w:t>
      </w:r>
    </w:p>
    <w:p w14:paraId="54A4B835" w14:textId="77777777" w:rsidR="00404B18" w:rsidRPr="00404B18" w:rsidRDefault="00404B18" w:rsidP="00404B18">
      <w:pPr>
        <w:tabs>
          <w:tab w:val="left" w:pos="2918"/>
        </w:tabs>
      </w:pPr>
      <w:r w:rsidRPr="00404B18">
        <w:t>Designa Gestor Titular e Gestor Suplente do Convênio SDE nº 057/2026, celebrado entre o Estado de São Paulo, por</w:t>
      </w:r>
    </w:p>
    <w:p w14:paraId="4E3BB59A" w14:textId="77777777" w:rsidR="00404B18" w:rsidRPr="00404B18" w:rsidRDefault="00404B18" w:rsidP="00404B18">
      <w:pPr>
        <w:tabs>
          <w:tab w:val="left" w:pos="2918"/>
        </w:tabs>
      </w:pPr>
      <w:r w:rsidRPr="00404B18">
        <w:t>intermédio da Secretaria de Desenvolvimento Econômico, na qualidade de órgão gestor do Fundo de Investimentos de Crédito Produtivo Popular de São Paulo, e o Município de São Paulo, para operacionalização de Unidade de Crédito do Banco do Povo Paulista, e dá outras providências.</w:t>
      </w:r>
    </w:p>
    <w:p w14:paraId="63B2A172" w14:textId="77777777" w:rsidR="00404B18" w:rsidRPr="00404B18" w:rsidRDefault="00404B18" w:rsidP="00404B18">
      <w:pPr>
        <w:tabs>
          <w:tab w:val="left" w:pos="2918"/>
        </w:tabs>
      </w:pPr>
      <w:r w:rsidRPr="00404B18">
        <w:t>O SECRETÁRIO MUNICIPAL DE DESENVOLVIMENTO ECONÔMICO E TRABALHO - SMDET, no uso das atribuições que</w:t>
      </w:r>
    </w:p>
    <w:p w14:paraId="56E87DB6" w14:textId="77777777" w:rsidR="00404B18" w:rsidRPr="00404B18" w:rsidRDefault="00404B18" w:rsidP="00404B18">
      <w:pPr>
        <w:tabs>
          <w:tab w:val="left" w:pos="2918"/>
        </w:tabs>
      </w:pPr>
      <w:r w:rsidRPr="00404B18">
        <w:t>lhe são conferidas pela Lei Municipal nº 13.164, de 5 de julho de 2001, e com fundamento no Decreto Municipal nº 19.512, de 20 de março de 1984, que dispõe sobre a delegação de competência,</w:t>
      </w:r>
    </w:p>
    <w:p w14:paraId="302B8D27" w14:textId="77777777" w:rsidR="00404B18" w:rsidRPr="00404B18" w:rsidRDefault="00404B18" w:rsidP="00404B18">
      <w:pPr>
        <w:tabs>
          <w:tab w:val="left" w:pos="2918"/>
        </w:tabs>
      </w:pPr>
      <w:r w:rsidRPr="00404B18">
        <w:lastRenderedPageBreak/>
        <w:t>CONSIDERANDO o Convênio SDE nº 057/2026, celebrado entre o Estado de São Paulo, por intermédio da Secretaria de Desenvolvimento Econômico, na qualidade de órgão gestor do Fundo de Investimentos de Crédito Produtivo Popular de São Paulo, e o Município de São Paulo, com vistas à operacionalização de Unidade de Crédito do Banco do Povo Paulista, nos termos da Lei Estadual nº 9.533, de 30 de abril de 1997, e do Decreto Estadual nº 43.283, de 3 de julho de 1998;</w:t>
      </w:r>
    </w:p>
    <w:p w14:paraId="11D2E970" w14:textId="77777777" w:rsidR="00404B18" w:rsidRPr="00404B18" w:rsidRDefault="00404B18" w:rsidP="00404B18">
      <w:pPr>
        <w:tabs>
          <w:tab w:val="left" w:pos="2918"/>
        </w:tabs>
      </w:pPr>
      <w:r w:rsidRPr="00404B18">
        <w:t>CONSIDERANDO a necessidade de acompanhamento, monitoramento e fiscalização da execução do referido Convênio;</w:t>
      </w:r>
    </w:p>
    <w:p w14:paraId="6352201D" w14:textId="77777777" w:rsidR="00404B18" w:rsidRPr="00404B18" w:rsidRDefault="00404B18" w:rsidP="00404B18">
      <w:pPr>
        <w:tabs>
          <w:tab w:val="left" w:pos="2918"/>
        </w:tabs>
      </w:pPr>
      <w:r w:rsidRPr="00404B18">
        <w:t>RESOLVE:</w:t>
      </w:r>
    </w:p>
    <w:p w14:paraId="60A6DBBD" w14:textId="77777777" w:rsidR="00404B18" w:rsidRPr="00404B18" w:rsidRDefault="00404B18" w:rsidP="00404B18">
      <w:pPr>
        <w:tabs>
          <w:tab w:val="left" w:pos="2918"/>
        </w:tabs>
      </w:pPr>
      <w:r w:rsidRPr="00404B18">
        <w:t>Art. 1º Ficam designados os seguintes servidores para exercer as funções de Gestor Titular e Gestor Suplente do Convênio SDE nº 057/2026:</w:t>
      </w:r>
    </w:p>
    <w:p w14:paraId="7C48CE61" w14:textId="77777777" w:rsidR="00404B18" w:rsidRPr="00404B18" w:rsidRDefault="00404B18" w:rsidP="00404B18">
      <w:pPr>
        <w:tabs>
          <w:tab w:val="left" w:pos="2918"/>
        </w:tabs>
      </w:pPr>
      <w:r w:rsidRPr="00404B18">
        <w:t>I - Gestora Titular: DAYANE DE SOUZA DA SILVA, RF nº 891.255-6;</w:t>
      </w:r>
    </w:p>
    <w:p w14:paraId="10224E96" w14:textId="77777777" w:rsidR="00404B18" w:rsidRPr="00404B18" w:rsidRDefault="00404B18" w:rsidP="00404B18">
      <w:pPr>
        <w:tabs>
          <w:tab w:val="left" w:pos="2918"/>
        </w:tabs>
      </w:pPr>
      <w:r w:rsidRPr="00404B18">
        <w:t>II - Gestor Suplente: FELIPE DA SILVA SOUSA, RF nº 889.759-0.</w:t>
      </w:r>
    </w:p>
    <w:p w14:paraId="0F2D80F9" w14:textId="77777777" w:rsidR="00404B18" w:rsidRPr="00404B18" w:rsidRDefault="00404B18" w:rsidP="00404B18">
      <w:pPr>
        <w:tabs>
          <w:tab w:val="left" w:pos="2918"/>
        </w:tabs>
      </w:pPr>
      <w:r w:rsidRPr="00404B18">
        <w:t>Art. 2º Compete aos gestores designados acompanhar, supervisionar, monitorar e adotar as providências necessárias à</w:t>
      </w:r>
    </w:p>
    <w:p w14:paraId="5FB997F0" w14:textId="77777777" w:rsidR="00404B18" w:rsidRPr="00404B18" w:rsidRDefault="00404B18" w:rsidP="00404B18">
      <w:pPr>
        <w:tabs>
          <w:tab w:val="left" w:pos="2918"/>
        </w:tabs>
      </w:pPr>
      <w:r w:rsidRPr="00404B18">
        <w:t>adequada execução do Convênio SDE nº 057/2026, observadas as atribuições estabelecidas no respectivo instrumento de convênio e</w:t>
      </w:r>
    </w:p>
    <w:p w14:paraId="6E06B6F7" w14:textId="77777777" w:rsidR="00404B18" w:rsidRPr="00404B18" w:rsidRDefault="00404B18" w:rsidP="00404B18">
      <w:pPr>
        <w:tabs>
          <w:tab w:val="left" w:pos="2918"/>
        </w:tabs>
      </w:pPr>
      <w:r w:rsidRPr="00404B18">
        <w:t>em seu Plano de Trabalho, bem como as disposições legais, regulamentares e normativas aplicáveis.</w:t>
      </w:r>
    </w:p>
    <w:p w14:paraId="12A60756" w14:textId="77777777" w:rsidR="00404B18" w:rsidRPr="00404B18" w:rsidRDefault="00404B18" w:rsidP="00404B18">
      <w:pPr>
        <w:tabs>
          <w:tab w:val="left" w:pos="2918"/>
        </w:tabs>
      </w:pPr>
      <w:r w:rsidRPr="00404B18">
        <w:t>Art. 3º A operacionalização das atividades relacionadas à Unidade de Crédito do Banco do Povo Paulista será realizada pela Agência São Paulo de Desenvolvimento - ADE SAMPA, nos termos do Contrato de Gestão nº 001/2022/SMDET, observadas as atribuições conferidas à entidade no âmbito do referido instrumento, bem como as competências previstas no Convênio SDE nº 057/2026 e na legislação aplicável.</w:t>
      </w:r>
    </w:p>
    <w:p w14:paraId="06742D69" w14:textId="77777777" w:rsidR="00404B18" w:rsidRPr="00404B18" w:rsidRDefault="00404B18" w:rsidP="00404B18">
      <w:pPr>
        <w:tabs>
          <w:tab w:val="left" w:pos="2918"/>
        </w:tabs>
      </w:pPr>
      <w:r w:rsidRPr="00404B18">
        <w:t>Art. 4º Os gestores designados deverão comunicar formalmente à autoridade competente quaisquer ocorrências que possam comprometer a execução do objeto conveniado, bem como propor as medidas necessárias à sua regularização.</w:t>
      </w:r>
    </w:p>
    <w:p w14:paraId="71691D4F" w14:textId="31FECD58" w:rsidR="00792A9B" w:rsidRDefault="00404B18" w:rsidP="00404B18">
      <w:pPr>
        <w:tabs>
          <w:tab w:val="left" w:pos="2918"/>
        </w:tabs>
      </w:pPr>
      <w:r w:rsidRPr="00404B18">
        <w:t>Art. 5º Esta Portaria entrará em vigor na data de sua publicação.</w:t>
      </w:r>
    </w:p>
    <w:p w14:paraId="7A51D781" w14:textId="77777777" w:rsidR="00404B18" w:rsidRDefault="00404B18" w:rsidP="00404B18">
      <w:pPr>
        <w:tabs>
          <w:tab w:val="left" w:pos="2918"/>
        </w:tabs>
      </w:pPr>
    </w:p>
    <w:p w14:paraId="725EEC3D" w14:textId="77777777" w:rsidR="00404B18" w:rsidRPr="00404B18" w:rsidRDefault="00404B18" w:rsidP="00404B18">
      <w:pPr>
        <w:tabs>
          <w:tab w:val="left" w:pos="2918"/>
        </w:tabs>
        <w:rPr>
          <w:b/>
          <w:bCs/>
        </w:rPr>
      </w:pPr>
      <w:r w:rsidRPr="00404B18">
        <w:rPr>
          <w:b/>
          <w:bCs/>
        </w:rPr>
        <w:t>GABINETE DO SECRETÁRIO</w:t>
      </w:r>
    </w:p>
    <w:p w14:paraId="3E99E4EF" w14:textId="77777777" w:rsidR="00404B18" w:rsidRPr="00404B18" w:rsidRDefault="00404B18" w:rsidP="00404B18">
      <w:pPr>
        <w:tabs>
          <w:tab w:val="left" w:pos="2918"/>
        </w:tabs>
      </w:pPr>
      <w:r w:rsidRPr="00404B18">
        <w:t>Portaria | Documento: 163399025</w:t>
      </w:r>
    </w:p>
    <w:p w14:paraId="30F07992" w14:textId="77777777" w:rsidR="00404B18" w:rsidRDefault="00404B18" w:rsidP="00404B18">
      <w:pPr>
        <w:tabs>
          <w:tab w:val="left" w:pos="2918"/>
        </w:tabs>
      </w:pPr>
      <w:r>
        <w:t>PORTARIA SMDET 81, DE 19 DE AGOSTO DE 2026.</w:t>
      </w:r>
    </w:p>
    <w:p w14:paraId="14749A3A" w14:textId="77777777" w:rsidR="00404B18" w:rsidRDefault="00404B18" w:rsidP="00404B18">
      <w:pPr>
        <w:tabs>
          <w:tab w:val="left" w:pos="2918"/>
        </w:tabs>
      </w:pPr>
      <w:r>
        <w:lastRenderedPageBreak/>
        <w:t>Designa Gestor Titular e Gestor Suplente do Convênio SDE nº 057/2026, celebrado entre o Estado de São Paulo, por</w:t>
      </w:r>
    </w:p>
    <w:p w14:paraId="584D61C9" w14:textId="77777777" w:rsidR="00404B18" w:rsidRDefault="00404B18" w:rsidP="00404B18">
      <w:pPr>
        <w:tabs>
          <w:tab w:val="left" w:pos="2918"/>
        </w:tabs>
      </w:pPr>
      <w:r>
        <w:t>intermédio da Secretaria de Desenvolvimento Econômico, na qualidade de órgão gestor do Fundo de Investimentos de Crédito Produtivo Popular de São Paulo, e o Município de São Paulo, para operacionalização de Unidade de Crédito do Banco do Povo Paulista, e dá outras providências.</w:t>
      </w:r>
    </w:p>
    <w:p w14:paraId="2BAD3722" w14:textId="77777777" w:rsidR="00404B18" w:rsidRDefault="00404B18" w:rsidP="00404B18">
      <w:pPr>
        <w:tabs>
          <w:tab w:val="left" w:pos="2918"/>
        </w:tabs>
      </w:pPr>
      <w:r>
        <w:t>O SECRETÁRIO MUNICIPAL DE DESENVOLVIMENTO ECONÔMICO E TRABALHO - SMDET, no uso das atribuições que</w:t>
      </w:r>
    </w:p>
    <w:p w14:paraId="2F28E866" w14:textId="77777777" w:rsidR="00404B18" w:rsidRDefault="00404B18" w:rsidP="00404B18">
      <w:pPr>
        <w:tabs>
          <w:tab w:val="left" w:pos="2918"/>
        </w:tabs>
      </w:pPr>
      <w:r>
        <w:t>lhe são conferidas pela Lei Municipal nº 13.164, de 5 de julho de 2001, e com fundamento no Decreto Municipal nº 19.512, de 20 de março de 1984, que dispõe sobre a delegação de competência,</w:t>
      </w:r>
    </w:p>
    <w:p w14:paraId="4F684AC0" w14:textId="77777777" w:rsidR="00404B18" w:rsidRDefault="00404B18" w:rsidP="00404B18">
      <w:pPr>
        <w:tabs>
          <w:tab w:val="left" w:pos="2918"/>
        </w:tabs>
      </w:pPr>
      <w:r>
        <w:t>CONSIDERANDO o Convênio SDE nº 057/2026, celebrado entre o Estado de São Paulo, por intermédio da Secretaria de Desenvolvimento Econômico, na qualidade de órgão gestor do Fundo de Investimentos de Crédito Produtivo Popular de São Paulo, e o Município de São Paulo, com vistas à operacionalização de Unidade de Crédito do Banco do Povo Paulista, nos termos da Lei Estadual nº 9.533, de 30 de abril de 1997, e do Decreto Estadual nº 43.283, de 3 de julho de 1998;</w:t>
      </w:r>
    </w:p>
    <w:p w14:paraId="6F087C57" w14:textId="77777777" w:rsidR="00404B18" w:rsidRDefault="00404B18" w:rsidP="00404B18">
      <w:pPr>
        <w:tabs>
          <w:tab w:val="left" w:pos="2918"/>
        </w:tabs>
      </w:pPr>
      <w:r>
        <w:t>CONSIDERANDO a necessidade de acompanhamento, monitoramento e fiscalização da execução do referido Convênio;</w:t>
      </w:r>
    </w:p>
    <w:p w14:paraId="33971895" w14:textId="77777777" w:rsidR="00404B18" w:rsidRDefault="00404B18" w:rsidP="00404B18">
      <w:pPr>
        <w:tabs>
          <w:tab w:val="left" w:pos="2918"/>
        </w:tabs>
      </w:pPr>
      <w:r>
        <w:t>RESOLVE:</w:t>
      </w:r>
    </w:p>
    <w:p w14:paraId="4696D316" w14:textId="77777777" w:rsidR="00404B18" w:rsidRDefault="00404B18" w:rsidP="00404B18">
      <w:pPr>
        <w:tabs>
          <w:tab w:val="left" w:pos="2918"/>
        </w:tabs>
      </w:pPr>
      <w:r>
        <w:t>Art. 1º Ficam designados os seguintes servidores para exercer as funções de Gestor Titular e Gestor Suplente do Convênio SDE nº 057/2026:</w:t>
      </w:r>
    </w:p>
    <w:p w14:paraId="232CCD5C" w14:textId="77777777" w:rsidR="00404B18" w:rsidRDefault="00404B18" w:rsidP="00404B18">
      <w:pPr>
        <w:tabs>
          <w:tab w:val="left" w:pos="2918"/>
        </w:tabs>
      </w:pPr>
      <w:r>
        <w:t>I - Gestora Titular: DAYANE DE SOUZA DA SILVA, RF nº 891.255-6;</w:t>
      </w:r>
    </w:p>
    <w:p w14:paraId="08CEF826" w14:textId="77777777" w:rsidR="00404B18" w:rsidRDefault="00404B18" w:rsidP="00404B18">
      <w:pPr>
        <w:tabs>
          <w:tab w:val="left" w:pos="2918"/>
        </w:tabs>
      </w:pPr>
      <w:r>
        <w:t>II - Gestor Suplente: FELIPE DA SILVA SOUSA, RF nº 889.759-0.</w:t>
      </w:r>
    </w:p>
    <w:p w14:paraId="0712865A" w14:textId="77777777" w:rsidR="00404B18" w:rsidRDefault="00404B18" w:rsidP="00404B18">
      <w:pPr>
        <w:tabs>
          <w:tab w:val="left" w:pos="2918"/>
        </w:tabs>
      </w:pPr>
      <w:r>
        <w:t>Art. 2º Compete aos gestores designados acompanhar, supervisionar, monitorar e adotar as providências necessárias à</w:t>
      </w:r>
    </w:p>
    <w:p w14:paraId="6CB8D52D" w14:textId="77777777" w:rsidR="00404B18" w:rsidRDefault="00404B18" w:rsidP="00404B18">
      <w:pPr>
        <w:tabs>
          <w:tab w:val="left" w:pos="2918"/>
        </w:tabs>
      </w:pPr>
      <w:r>
        <w:t>adequada execução do Convênio SDE nº 057/2026, observadas as atribuições estabelecidas no respectivo instrumento de convênio e</w:t>
      </w:r>
    </w:p>
    <w:p w14:paraId="09D71F2E" w14:textId="77777777" w:rsidR="00404B18" w:rsidRDefault="00404B18" w:rsidP="00404B18">
      <w:pPr>
        <w:tabs>
          <w:tab w:val="left" w:pos="2918"/>
        </w:tabs>
      </w:pPr>
      <w:r>
        <w:t>em seu Plano de Trabalho, bem como as disposições legais, regulamentares e normativas aplicáveis.</w:t>
      </w:r>
    </w:p>
    <w:p w14:paraId="1CD3D6B2" w14:textId="77777777" w:rsidR="00404B18" w:rsidRDefault="00404B18" w:rsidP="00404B18">
      <w:pPr>
        <w:tabs>
          <w:tab w:val="left" w:pos="2918"/>
        </w:tabs>
      </w:pPr>
      <w:r>
        <w:t xml:space="preserve">Art. 3º A operacionalização das atividades relacionadas à Unidade de Crédito do Banco do Povo Paulista será realizada pela Agência São Paulo de Desenvolvimento - ADE SAMPA, nos termos do Contrato de Gestão nº 001/2022/SMDET, observadas as atribuições conferidas à entidade no âmbito do </w:t>
      </w:r>
      <w:r>
        <w:lastRenderedPageBreak/>
        <w:t>referido instrumento, bem como as competências previstas no Convênio SDE nº 057/2026 e na legislação aplicável.</w:t>
      </w:r>
    </w:p>
    <w:p w14:paraId="05E019DF" w14:textId="77777777" w:rsidR="00404B18" w:rsidRDefault="00404B18" w:rsidP="00404B18">
      <w:pPr>
        <w:tabs>
          <w:tab w:val="left" w:pos="2918"/>
        </w:tabs>
      </w:pPr>
      <w:r>
        <w:t>Art. 4º Os gestores designados deverão comunicar formalmente à autoridade competente quaisquer ocorrências que possam comprometer a execução do objeto conveniado, bem como propor as medidas necessárias à sua regularização.</w:t>
      </w:r>
    </w:p>
    <w:p w14:paraId="1EDF6B27" w14:textId="014D4420" w:rsidR="00404B18" w:rsidRDefault="00404B18" w:rsidP="00404B18">
      <w:pPr>
        <w:tabs>
          <w:tab w:val="left" w:pos="2918"/>
        </w:tabs>
      </w:pPr>
      <w:r>
        <w:t>Art. 5º Esta Portaria entrará em vigor na data de sua publicação.</w:t>
      </w:r>
    </w:p>
    <w:p w14:paraId="1DF283D4" w14:textId="77777777" w:rsidR="00404B18" w:rsidRDefault="00404B18" w:rsidP="00404B18">
      <w:pPr>
        <w:tabs>
          <w:tab w:val="left" w:pos="2918"/>
        </w:tabs>
      </w:pPr>
    </w:p>
    <w:p w14:paraId="4015EF71" w14:textId="77777777" w:rsidR="00404B18" w:rsidRPr="00404B18" w:rsidRDefault="00404B18" w:rsidP="00404B18">
      <w:pPr>
        <w:tabs>
          <w:tab w:val="left" w:pos="2918"/>
        </w:tabs>
        <w:rPr>
          <w:b/>
          <w:bCs/>
        </w:rPr>
      </w:pPr>
      <w:r w:rsidRPr="00404B18">
        <w:rPr>
          <w:b/>
          <w:bCs/>
        </w:rPr>
        <w:t>NÚCLEO DE PUBLICAÇÃO</w:t>
      </w:r>
    </w:p>
    <w:p w14:paraId="248F89E9" w14:textId="77777777" w:rsidR="00404B18" w:rsidRPr="00404B18" w:rsidRDefault="00404B18" w:rsidP="00404B18">
      <w:pPr>
        <w:tabs>
          <w:tab w:val="left" w:pos="2918"/>
        </w:tabs>
        <w:rPr>
          <w:b/>
          <w:bCs/>
        </w:rPr>
      </w:pPr>
      <w:r w:rsidRPr="00404B18">
        <w:rPr>
          <w:b/>
          <w:bCs/>
        </w:rPr>
        <w:t>Extrato de Aditamento (NP) | Documento: 163475567</w:t>
      </w:r>
    </w:p>
    <w:p w14:paraId="31AA6A8A" w14:textId="77777777" w:rsidR="00404B18" w:rsidRDefault="00404B18" w:rsidP="00404B18">
      <w:pPr>
        <w:tabs>
          <w:tab w:val="left" w:pos="2918"/>
        </w:tabs>
      </w:pPr>
      <w:r>
        <w:t>PRINCIPAL</w:t>
      </w:r>
    </w:p>
    <w:p w14:paraId="71C60121" w14:textId="77777777" w:rsidR="00404B18" w:rsidRDefault="00404B18" w:rsidP="00404B18">
      <w:pPr>
        <w:tabs>
          <w:tab w:val="left" w:pos="2918"/>
        </w:tabs>
      </w:pPr>
      <w:r>
        <w:t>Número do Contrato</w:t>
      </w:r>
    </w:p>
    <w:p w14:paraId="54263663" w14:textId="77777777" w:rsidR="00404B18" w:rsidRDefault="00404B18" w:rsidP="00404B18">
      <w:pPr>
        <w:tabs>
          <w:tab w:val="left" w:pos="2918"/>
        </w:tabs>
      </w:pPr>
      <w:r>
        <w:t>Convênio 01/2022/SMDET</w:t>
      </w:r>
    </w:p>
    <w:p w14:paraId="59016747" w14:textId="77777777" w:rsidR="00404B18" w:rsidRDefault="00404B18" w:rsidP="00404B18">
      <w:pPr>
        <w:tabs>
          <w:tab w:val="left" w:pos="2918"/>
        </w:tabs>
      </w:pPr>
      <w:r>
        <w:t>Contratado(a)</w:t>
      </w:r>
    </w:p>
    <w:p w14:paraId="25E3FD8A" w14:textId="77777777" w:rsidR="00404B18" w:rsidRDefault="00404B18" w:rsidP="00404B18">
      <w:pPr>
        <w:tabs>
          <w:tab w:val="left" w:pos="2918"/>
        </w:tabs>
      </w:pPr>
      <w:r>
        <w:t>Fundação Paulistana de Educação, Tecnologia e Cultura - FPETC</w:t>
      </w:r>
    </w:p>
    <w:p w14:paraId="36825C71" w14:textId="77777777" w:rsidR="00404B18" w:rsidRDefault="00404B18" w:rsidP="00404B18">
      <w:pPr>
        <w:tabs>
          <w:tab w:val="left" w:pos="2918"/>
        </w:tabs>
      </w:pPr>
      <w:r>
        <w:t>Tipo de Pessoa</w:t>
      </w:r>
    </w:p>
    <w:p w14:paraId="42213590" w14:textId="77777777" w:rsidR="00404B18" w:rsidRDefault="00404B18" w:rsidP="00404B18">
      <w:pPr>
        <w:tabs>
          <w:tab w:val="left" w:pos="2918"/>
        </w:tabs>
      </w:pPr>
      <w:r>
        <w:t>Jurídica</w:t>
      </w:r>
    </w:p>
    <w:p w14:paraId="0F10BF57" w14:textId="77777777" w:rsidR="00404B18" w:rsidRDefault="00404B18" w:rsidP="00404B18">
      <w:pPr>
        <w:tabs>
          <w:tab w:val="left" w:pos="2918"/>
        </w:tabs>
      </w:pPr>
      <w:r>
        <w:t>CPF /CNPJ/ RNE</w:t>
      </w:r>
    </w:p>
    <w:p w14:paraId="108920E9" w14:textId="77777777" w:rsidR="00404B18" w:rsidRDefault="00404B18" w:rsidP="00404B18">
      <w:pPr>
        <w:tabs>
          <w:tab w:val="left" w:pos="2918"/>
        </w:tabs>
      </w:pPr>
      <w:r>
        <w:t>07.039.800/0001-65</w:t>
      </w:r>
    </w:p>
    <w:p w14:paraId="77C035E0" w14:textId="77777777" w:rsidR="00404B18" w:rsidRDefault="00404B18" w:rsidP="00404B18">
      <w:pPr>
        <w:tabs>
          <w:tab w:val="left" w:pos="2918"/>
        </w:tabs>
      </w:pPr>
      <w:r>
        <w:t>Data da Assinatura</w:t>
      </w:r>
    </w:p>
    <w:p w14:paraId="23DFCB29" w14:textId="77777777" w:rsidR="00404B18" w:rsidRDefault="00404B18" w:rsidP="00404B18">
      <w:pPr>
        <w:tabs>
          <w:tab w:val="left" w:pos="2918"/>
        </w:tabs>
      </w:pPr>
      <w:r>
        <w:t>19/08/2026</w:t>
      </w:r>
    </w:p>
    <w:p w14:paraId="5B81B63D" w14:textId="77777777" w:rsidR="00404B18" w:rsidRDefault="00404B18" w:rsidP="00404B18">
      <w:pPr>
        <w:tabs>
          <w:tab w:val="left" w:pos="2918"/>
        </w:tabs>
      </w:pPr>
      <w:r>
        <w:t>Prazo do Contrato</w:t>
      </w:r>
    </w:p>
    <w:p w14:paraId="1A3933E7" w14:textId="77777777" w:rsidR="00404B18" w:rsidRDefault="00404B18" w:rsidP="00404B18">
      <w:pPr>
        <w:tabs>
          <w:tab w:val="left" w:pos="2918"/>
        </w:tabs>
      </w:pPr>
      <w:r>
        <w:t>31/12/2026</w:t>
      </w:r>
    </w:p>
    <w:p w14:paraId="1F88F46B" w14:textId="77777777" w:rsidR="00404B18" w:rsidRDefault="00404B18" w:rsidP="00404B18">
      <w:pPr>
        <w:tabs>
          <w:tab w:val="left" w:pos="2918"/>
        </w:tabs>
      </w:pPr>
      <w:r>
        <w:t>Tipo do Prazo</w:t>
      </w:r>
    </w:p>
    <w:p w14:paraId="64157BFE" w14:textId="77777777" w:rsidR="00404B18" w:rsidRDefault="00404B18" w:rsidP="00404B18">
      <w:pPr>
        <w:tabs>
          <w:tab w:val="left" w:pos="2918"/>
        </w:tabs>
      </w:pPr>
      <w:r>
        <w:t>Mês</w:t>
      </w:r>
    </w:p>
    <w:p w14:paraId="2742B849" w14:textId="77777777" w:rsidR="00404B18" w:rsidRDefault="00404B18" w:rsidP="00404B18">
      <w:pPr>
        <w:tabs>
          <w:tab w:val="left" w:pos="2918"/>
        </w:tabs>
      </w:pPr>
      <w:r>
        <w:t>Síntese (Texto do Despacho)</w:t>
      </w:r>
    </w:p>
    <w:p w14:paraId="45A48968" w14:textId="77777777" w:rsidR="00404B18" w:rsidRDefault="00404B18" w:rsidP="00404B18">
      <w:pPr>
        <w:tabs>
          <w:tab w:val="left" w:pos="2918"/>
        </w:tabs>
      </w:pPr>
      <w:r>
        <w:t>Extrato Aditamento 4º 8110.2022/0001665-1Convênio: 01/2022/SMDET Parceiras: Secretaria Municipal de Desenvolvimento Econômico e</w:t>
      </w:r>
    </w:p>
    <w:p w14:paraId="54384029" w14:textId="77777777" w:rsidR="00404B18" w:rsidRDefault="00404B18" w:rsidP="00404B18">
      <w:pPr>
        <w:tabs>
          <w:tab w:val="left" w:pos="2918"/>
        </w:tabs>
      </w:pPr>
      <w:r>
        <w:t xml:space="preserve">Trabalho - SMDET, CNPJ 04.537.740/0001-12 e a Fundação Paulistana de Educação, Tecnologia e Cultura - FPETC, CNPJ 07.039.800/0001- 65. Objeto do </w:t>
      </w:r>
      <w:r>
        <w:lastRenderedPageBreak/>
        <w:t>Convênio: Qualificação profissional de competência de SMDET e da FPETC, nos setores de Comércio e Varejo; Economia Criativa; Economia Verde e Sustentabilidade; Indústria; Infraestrutura, Mobilidade e Construção; Saúde, Esporte e Qualidade de Vida;</w:t>
      </w:r>
    </w:p>
    <w:p w14:paraId="0D023585" w14:textId="77777777" w:rsidR="00404B18" w:rsidRDefault="00404B18" w:rsidP="00404B18">
      <w:pPr>
        <w:tabs>
          <w:tab w:val="left" w:pos="2918"/>
        </w:tabs>
      </w:pPr>
      <w:r>
        <w:t>Serviços Financeiros e Profissionais; Tecnologia e Inovação; Turismo e Gastronomia e Gestão, Trabalho e Empreendedorismo, em</w:t>
      </w:r>
    </w:p>
    <w:p w14:paraId="28CBF3E1" w14:textId="77777777" w:rsidR="00404B18" w:rsidRDefault="00404B18" w:rsidP="00404B18">
      <w:pPr>
        <w:tabs>
          <w:tab w:val="left" w:pos="2918"/>
        </w:tabs>
      </w:pPr>
      <w:r>
        <w:t>conformidade com o Plano de Trabalho anexo. Vigência: 29/12/2022 à 31/12/2026. Objeto do Aditamento: Alteração do Plano de Trabalho e Aporte Financeiro. Fundamentação: Artigo 65 da Lei Federal 8.666/93. Valor global: De R$ 11.800.350,33 (onze milhões, oitocentos mil</w:t>
      </w:r>
    </w:p>
    <w:p w14:paraId="3357B9EF" w14:textId="77777777" w:rsidR="00404B18" w:rsidRDefault="00404B18" w:rsidP="00404B18">
      <w:pPr>
        <w:tabs>
          <w:tab w:val="left" w:pos="2918"/>
        </w:tabs>
      </w:pPr>
      <w:r>
        <w:t>trezentos e cinquenta reais e trinta e três centavos), para R$ 30.260.350,00 (trinta milhões, duzentos e sessenta mil trezentos e</w:t>
      </w:r>
    </w:p>
    <w:p w14:paraId="4784CC55" w14:textId="77777777" w:rsidR="00404B18" w:rsidRDefault="00404B18" w:rsidP="00404B18">
      <w:pPr>
        <w:tabs>
          <w:tab w:val="left" w:pos="2918"/>
        </w:tabs>
      </w:pPr>
      <w:r>
        <w:t>cinquenta reais). Saldo remanescente R$ 460.000,00 (quatrocentos e sessenta mil reais). Dotação orçamentária: 30.00.30.10.11.333.4012.4.432.3.3.91.39.00.00.1.500.9001.1. Data da assinatura: 19/08/2026. Signatários: Rodrigo Hayashi Goulart, pela Secretaria Municipal de Desenvolvimento Econômico e Trabalho - SMDET; Diogo Telles Martins Pereira, Diretor Geral, pela Fundação</w:t>
      </w:r>
    </w:p>
    <w:p w14:paraId="4C9FAFCC" w14:textId="77777777" w:rsidR="00404B18" w:rsidRDefault="00404B18" w:rsidP="00404B18">
      <w:pPr>
        <w:tabs>
          <w:tab w:val="left" w:pos="2918"/>
        </w:tabs>
      </w:pPr>
      <w:r>
        <w:t>Paulistana de Educação, Tecnologia e Cultura FPETC.</w:t>
      </w:r>
    </w:p>
    <w:p w14:paraId="2527F390" w14:textId="77777777" w:rsidR="00404B18" w:rsidRDefault="00404B18" w:rsidP="00404B18">
      <w:pPr>
        <w:tabs>
          <w:tab w:val="left" w:pos="2918"/>
        </w:tabs>
      </w:pPr>
      <w:r>
        <w:t>Data de Publicação</w:t>
      </w:r>
    </w:p>
    <w:p w14:paraId="08B7959C" w14:textId="77777777" w:rsidR="00404B18" w:rsidRDefault="00404B18" w:rsidP="00404B18">
      <w:pPr>
        <w:tabs>
          <w:tab w:val="left" w:pos="2918"/>
        </w:tabs>
      </w:pPr>
      <w:r>
        <w:t>21/08/2026</w:t>
      </w:r>
    </w:p>
    <w:p w14:paraId="05F3414A" w14:textId="77777777" w:rsidR="00404B18" w:rsidRDefault="00404B18" w:rsidP="00404B18">
      <w:pPr>
        <w:tabs>
          <w:tab w:val="left" w:pos="2918"/>
        </w:tabs>
      </w:pPr>
      <w:r>
        <w:t>Íntegra do Contrato (Número do Documento SEI)</w:t>
      </w:r>
    </w:p>
    <w:p w14:paraId="19D4FBBF" w14:textId="3DEF57FF" w:rsidR="00404B18" w:rsidRPr="00404B18" w:rsidRDefault="00404B18" w:rsidP="00792A9B">
      <w:pPr>
        <w:tabs>
          <w:tab w:val="left" w:pos="2918"/>
        </w:tabs>
      </w:pPr>
      <w:r>
        <w:t>163424196</w:t>
      </w:r>
    </w:p>
    <w:p w14:paraId="675A7C24" w14:textId="77777777" w:rsidR="00404B18" w:rsidRDefault="00404B18" w:rsidP="00792A9B">
      <w:pPr>
        <w:tabs>
          <w:tab w:val="left" w:pos="2918"/>
        </w:tabs>
      </w:pPr>
    </w:p>
    <w:p w14:paraId="6C1AD064" w14:textId="3C390C9D" w:rsidR="00792A9B" w:rsidRDefault="00404B18" w:rsidP="00792A9B">
      <w:pPr>
        <w:tabs>
          <w:tab w:val="left" w:pos="2918"/>
        </w:tabs>
        <w:rPr>
          <w:b/>
          <w:bCs/>
          <w:u w:val="single"/>
        </w:rPr>
      </w:pPr>
      <w:r>
        <w:rPr>
          <w:b/>
          <w:bCs/>
          <w:u w:val="single"/>
        </w:rPr>
        <w:t>CÂMARA MUNICIPAL DE SÃO PAULO</w:t>
      </w:r>
    </w:p>
    <w:p w14:paraId="114562A3" w14:textId="77777777" w:rsidR="00404B18" w:rsidRPr="00404B18" w:rsidRDefault="00404B18" w:rsidP="00404B18">
      <w:pPr>
        <w:tabs>
          <w:tab w:val="left" w:pos="2918"/>
        </w:tabs>
        <w:rPr>
          <w:b/>
          <w:bCs/>
        </w:rPr>
      </w:pPr>
      <w:r w:rsidRPr="00404B18">
        <w:rPr>
          <w:b/>
          <w:bCs/>
        </w:rPr>
        <w:t>EQUIPE DE CERIMONIAL</w:t>
      </w:r>
    </w:p>
    <w:p w14:paraId="2DE5B526" w14:textId="77777777" w:rsidR="00404B18" w:rsidRPr="00404B18" w:rsidRDefault="00404B18" w:rsidP="00404B18">
      <w:pPr>
        <w:tabs>
          <w:tab w:val="left" w:pos="2918"/>
        </w:tabs>
        <w:rPr>
          <w:b/>
          <w:bCs/>
        </w:rPr>
      </w:pPr>
      <w:r w:rsidRPr="00404B18">
        <w:rPr>
          <w:b/>
          <w:bCs/>
        </w:rPr>
        <w:t>Comunicado | Documento: 163524449</w:t>
      </w:r>
    </w:p>
    <w:p w14:paraId="6063338B" w14:textId="77777777" w:rsidR="00404B18" w:rsidRDefault="00404B18" w:rsidP="00404B18">
      <w:pPr>
        <w:tabs>
          <w:tab w:val="left" w:pos="2918"/>
        </w:tabs>
      </w:pPr>
      <w:r>
        <w:t>AGENDA DE EVENTOS - DIA 21 DE AGOSTO DE 2026 SEXTA-FEIRA</w:t>
      </w:r>
    </w:p>
    <w:p w14:paraId="58BD32F0" w14:textId="77777777" w:rsidR="00404B18" w:rsidRDefault="00404B18" w:rsidP="00404B18">
      <w:pPr>
        <w:tabs>
          <w:tab w:val="left" w:pos="2918"/>
        </w:tabs>
      </w:pPr>
      <w:r>
        <w:t>HORÁRIO EVENTOS LOCAL VEREADOR(A)</w:t>
      </w:r>
    </w:p>
    <w:p w14:paraId="6D57FA0D" w14:textId="77777777" w:rsidR="00404B18" w:rsidRDefault="00404B18" w:rsidP="00404B18">
      <w:pPr>
        <w:tabs>
          <w:tab w:val="left" w:pos="2918"/>
        </w:tabs>
      </w:pPr>
      <w:r>
        <w:t>09:00 - 22:00</w:t>
      </w:r>
    </w:p>
    <w:p w14:paraId="6320AEE5" w14:textId="77777777" w:rsidR="00404B18" w:rsidRDefault="00404B18" w:rsidP="00404B18">
      <w:pPr>
        <w:tabs>
          <w:tab w:val="left" w:pos="2918"/>
        </w:tabs>
      </w:pPr>
      <w:r>
        <w:t>Exposição "Galeria Lilás"</w:t>
      </w:r>
    </w:p>
    <w:p w14:paraId="77E26FDD" w14:textId="77777777" w:rsidR="00404B18" w:rsidRDefault="00404B18" w:rsidP="00404B18">
      <w:pPr>
        <w:tabs>
          <w:tab w:val="left" w:pos="2918"/>
        </w:tabs>
      </w:pPr>
      <w:r>
        <w:t>Saguão de Entrada</w:t>
      </w:r>
    </w:p>
    <w:p w14:paraId="44EA67F9" w14:textId="77777777" w:rsidR="00404B18" w:rsidRDefault="00404B18" w:rsidP="00404B18">
      <w:pPr>
        <w:tabs>
          <w:tab w:val="left" w:pos="2918"/>
        </w:tabs>
      </w:pPr>
      <w:r>
        <w:lastRenderedPageBreak/>
        <w:t>José Mentor Térreo Mesa Diretora</w:t>
      </w:r>
    </w:p>
    <w:p w14:paraId="6FA38A81" w14:textId="77777777" w:rsidR="00404B18" w:rsidRDefault="00404B18" w:rsidP="00404B18">
      <w:pPr>
        <w:tabs>
          <w:tab w:val="left" w:pos="2918"/>
        </w:tabs>
      </w:pPr>
      <w:r>
        <w:t>09:00 - 22:00</w:t>
      </w:r>
    </w:p>
    <w:p w14:paraId="700568E7" w14:textId="77777777" w:rsidR="00404B18" w:rsidRDefault="00404B18" w:rsidP="00404B18">
      <w:pPr>
        <w:tabs>
          <w:tab w:val="left" w:pos="2918"/>
        </w:tabs>
      </w:pPr>
      <w:r>
        <w:t>Exposição: "JK - Um Paulista Nascido em Minas"</w:t>
      </w:r>
    </w:p>
    <w:p w14:paraId="1A965171" w14:textId="77777777" w:rsidR="00404B18" w:rsidRDefault="00404B18" w:rsidP="00404B18">
      <w:pPr>
        <w:tabs>
          <w:tab w:val="left" w:pos="2918"/>
        </w:tabs>
      </w:pPr>
      <w:r>
        <w:t>Saguão de Entrada</w:t>
      </w:r>
    </w:p>
    <w:p w14:paraId="13BF28B5" w14:textId="77777777" w:rsidR="00404B18" w:rsidRDefault="00404B18" w:rsidP="00404B18">
      <w:pPr>
        <w:tabs>
          <w:tab w:val="left" w:pos="2918"/>
        </w:tabs>
      </w:pPr>
      <w:r>
        <w:t>José Mentor Térreo</w:t>
      </w:r>
    </w:p>
    <w:p w14:paraId="27895443" w14:textId="77777777" w:rsidR="00404B18" w:rsidRDefault="00404B18" w:rsidP="00404B18">
      <w:pPr>
        <w:tabs>
          <w:tab w:val="left" w:pos="2918"/>
        </w:tabs>
      </w:pPr>
      <w:r>
        <w:t>Centro de Memória da Câmara Municipal de São Paulo</w:t>
      </w:r>
    </w:p>
    <w:p w14:paraId="5A726422" w14:textId="77777777" w:rsidR="00404B18" w:rsidRDefault="00404B18" w:rsidP="00404B18">
      <w:pPr>
        <w:tabs>
          <w:tab w:val="left" w:pos="2918"/>
        </w:tabs>
      </w:pPr>
      <w:r>
        <w:t>09:00 - 22:00</w:t>
      </w:r>
    </w:p>
    <w:p w14:paraId="7178455D" w14:textId="77777777" w:rsidR="00404B18" w:rsidRDefault="00404B18" w:rsidP="00404B18">
      <w:pPr>
        <w:tabs>
          <w:tab w:val="left" w:pos="2918"/>
        </w:tabs>
      </w:pPr>
      <w:r>
        <w:t>Exposição "Papas e os Brasileiros"</w:t>
      </w:r>
    </w:p>
    <w:p w14:paraId="2E09F8E6" w14:textId="77777777" w:rsidR="00404B18" w:rsidRDefault="00404B18" w:rsidP="00404B18">
      <w:pPr>
        <w:tabs>
          <w:tab w:val="left" w:pos="2918"/>
        </w:tabs>
      </w:pPr>
      <w:r>
        <w:t>Pátio Papa Francisco</w:t>
      </w:r>
    </w:p>
    <w:p w14:paraId="4F9E49A0" w14:textId="77777777" w:rsidR="00404B18" w:rsidRDefault="00404B18" w:rsidP="00404B18">
      <w:pPr>
        <w:tabs>
          <w:tab w:val="left" w:pos="2918"/>
        </w:tabs>
      </w:pPr>
      <w:r>
        <w:t>Térreo</w:t>
      </w:r>
    </w:p>
    <w:p w14:paraId="067B5034" w14:textId="77777777" w:rsidR="00404B18" w:rsidRDefault="00404B18" w:rsidP="00404B18">
      <w:pPr>
        <w:tabs>
          <w:tab w:val="left" w:pos="2918"/>
        </w:tabs>
      </w:pPr>
      <w:r>
        <w:t>Presidência</w:t>
      </w:r>
    </w:p>
    <w:p w14:paraId="43C07C89" w14:textId="77777777" w:rsidR="00404B18" w:rsidRDefault="00404B18" w:rsidP="00404B18">
      <w:pPr>
        <w:tabs>
          <w:tab w:val="left" w:pos="2918"/>
        </w:tabs>
      </w:pPr>
      <w:r>
        <w:t>14:00 - 17:30</w:t>
      </w:r>
    </w:p>
    <w:p w14:paraId="4A765C99" w14:textId="77777777" w:rsidR="00404B18" w:rsidRDefault="00404B18" w:rsidP="00404B18">
      <w:pPr>
        <w:tabs>
          <w:tab w:val="left" w:pos="2918"/>
        </w:tabs>
      </w:pPr>
      <w:r>
        <w:t xml:space="preserve">II Congresso e Conferência do </w:t>
      </w:r>
      <w:proofErr w:type="gramStart"/>
      <w:r>
        <w:t>Agosto</w:t>
      </w:r>
      <w:proofErr w:type="gramEnd"/>
      <w:r>
        <w:t xml:space="preserve"> Lilás da Confraria Mulheres 40+ - Unidas no Combate ao Feminicídio</w:t>
      </w:r>
    </w:p>
    <w:p w14:paraId="39CB48B4" w14:textId="77777777" w:rsidR="00404B18" w:rsidRDefault="00404B18" w:rsidP="00404B18">
      <w:pPr>
        <w:tabs>
          <w:tab w:val="left" w:pos="2918"/>
        </w:tabs>
      </w:pPr>
      <w:r>
        <w:t>Salão Nobre 8º andar</w:t>
      </w:r>
    </w:p>
    <w:p w14:paraId="46B0E32D" w14:textId="77777777" w:rsidR="00404B18" w:rsidRDefault="00404B18" w:rsidP="00404B18">
      <w:pPr>
        <w:tabs>
          <w:tab w:val="left" w:pos="2918"/>
        </w:tabs>
      </w:pPr>
      <w:r>
        <w:t>Edir Sales PSD</w:t>
      </w:r>
    </w:p>
    <w:p w14:paraId="0B08219F" w14:textId="77777777" w:rsidR="00404B18" w:rsidRDefault="00404B18" w:rsidP="00404B18">
      <w:pPr>
        <w:tabs>
          <w:tab w:val="left" w:pos="2918"/>
        </w:tabs>
      </w:pPr>
      <w:r>
        <w:t>18:00 - 22:00 Solenidade em Homenagem à Igreja Edificando em Cristo</w:t>
      </w:r>
    </w:p>
    <w:p w14:paraId="51FE964B" w14:textId="77777777" w:rsidR="00404B18" w:rsidRDefault="00404B18" w:rsidP="00404B18">
      <w:pPr>
        <w:tabs>
          <w:tab w:val="left" w:pos="2918"/>
        </w:tabs>
      </w:pPr>
      <w:r>
        <w:t>Auditório Prestes Maia 1º andar</w:t>
      </w:r>
    </w:p>
    <w:p w14:paraId="2ED8AAAA" w14:textId="77777777" w:rsidR="00404B18" w:rsidRDefault="00404B18" w:rsidP="00404B18">
      <w:pPr>
        <w:tabs>
          <w:tab w:val="left" w:pos="2918"/>
        </w:tabs>
      </w:pPr>
      <w:r>
        <w:t>Carlos Bezerra Jr. PSD</w:t>
      </w:r>
    </w:p>
    <w:p w14:paraId="4918196B" w14:textId="77777777" w:rsidR="00404B18" w:rsidRDefault="00404B18" w:rsidP="00404B18">
      <w:pPr>
        <w:tabs>
          <w:tab w:val="left" w:pos="2918"/>
        </w:tabs>
      </w:pPr>
      <w:r>
        <w:t>19:00 - 22:00</w:t>
      </w:r>
    </w:p>
    <w:p w14:paraId="3C93F9A9" w14:textId="77777777" w:rsidR="00404B18" w:rsidRDefault="00404B18" w:rsidP="00404B18">
      <w:pPr>
        <w:tabs>
          <w:tab w:val="left" w:pos="2918"/>
        </w:tabs>
      </w:pPr>
      <w:r>
        <w:t>Solenidade de Reconhecimento e de Valorização aos Profissionais da Educação</w:t>
      </w:r>
    </w:p>
    <w:p w14:paraId="13DD8F6E" w14:textId="77777777" w:rsidR="00404B18" w:rsidRDefault="00404B18" w:rsidP="00404B18">
      <w:pPr>
        <w:tabs>
          <w:tab w:val="left" w:pos="2918"/>
        </w:tabs>
      </w:pPr>
      <w:r>
        <w:t>Plenário 1º de Maio 1º andar Major Palumbo PP</w:t>
      </w:r>
    </w:p>
    <w:p w14:paraId="35D429EE" w14:textId="77777777" w:rsidR="00404B18" w:rsidRDefault="00404B18" w:rsidP="00404B18">
      <w:pPr>
        <w:tabs>
          <w:tab w:val="left" w:pos="2918"/>
        </w:tabs>
      </w:pPr>
      <w:r>
        <w:t>19:00 - 22:00 Homenagem à GCM e Membros da Sociedade Civil</w:t>
      </w:r>
    </w:p>
    <w:p w14:paraId="2759676E" w14:textId="77777777" w:rsidR="00404B18" w:rsidRDefault="00404B18" w:rsidP="00404B18">
      <w:pPr>
        <w:tabs>
          <w:tab w:val="left" w:pos="2918"/>
        </w:tabs>
      </w:pPr>
      <w:r>
        <w:t>Sala Sérgio Vieira de Mello 1º SS</w:t>
      </w:r>
    </w:p>
    <w:p w14:paraId="2BE1A3E1" w14:textId="77777777" w:rsidR="00404B18" w:rsidRDefault="00404B18" w:rsidP="00404B18">
      <w:pPr>
        <w:tabs>
          <w:tab w:val="left" w:pos="2918"/>
        </w:tabs>
      </w:pPr>
      <w:r>
        <w:t>Eliseu Gabriel</w:t>
      </w:r>
    </w:p>
    <w:p w14:paraId="0A58BC11" w14:textId="77777777" w:rsidR="00404B18" w:rsidRDefault="00404B18" w:rsidP="00404B18">
      <w:pPr>
        <w:tabs>
          <w:tab w:val="left" w:pos="2918"/>
        </w:tabs>
      </w:pPr>
      <w:r>
        <w:t>PSB</w:t>
      </w:r>
    </w:p>
    <w:p w14:paraId="09339D0A" w14:textId="77777777" w:rsidR="00404B18" w:rsidRDefault="00404B18" w:rsidP="00404B18">
      <w:pPr>
        <w:tabs>
          <w:tab w:val="left" w:pos="2918"/>
        </w:tabs>
      </w:pPr>
      <w:r>
        <w:t>EQUIPE DE CONTROLE DE PESSOAL FIXO E PUBLICAÇÃO</w:t>
      </w:r>
    </w:p>
    <w:p w14:paraId="1C1C3957" w14:textId="77777777" w:rsidR="00404B18" w:rsidRDefault="00404B18" w:rsidP="00404B18">
      <w:pPr>
        <w:tabs>
          <w:tab w:val="left" w:pos="2918"/>
        </w:tabs>
      </w:pPr>
      <w:r>
        <w:t>Comunicado | Documento: 163524869</w:t>
      </w:r>
    </w:p>
    <w:p w14:paraId="01D074A2" w14:textId="77777777" w:rsidR="00404B18" w:rsidRDefault="00404B18" w:rsidP="00404B18">
      <w:pPr>
        <w:tabs>
          <w:tab w:val="left" w:pos="2918"/>
        </w:tabs>
      </w:pPr>
      <w:r>
        <w:lastRenderedPageBreak/>
        <w:t>SECRETARIA DA CÂMARA</w:t>
      </w:r>
    </w:p>
    <w:p w14:paraId="35171CE8" w14:textId="77777777" w:rsidR="00404B18" w:rsidRDefault="00404B18" w:rsidP="00404B18">
      <w:pPr>
        <w:tabs>
          <w:tab w:val="left" w:pos="2918"/>
        </w:tabs>
      </w:pPr>
      <w:r>
        <w:t>PRESIDÊNCIA</w:t>
      </w:r>
    </w:p>
    <w:p w14:paraId="52BCB0A5" w14:textId="77777777" w:rsidR="00404B18" w:rsidRDefault="00404B18" w:rsidP="00404B18">
      <w:pPr>
        <w:tabs>
          <w:tab w:val="left" w:pos="2918"/>
        </w:tabs>
      </w:pPr>
      <w:r>
        <w:t>PORTARIA 228/26</w:t>
      </w:r>
    </w:p>
    <w:p w14:paraId="2BD19BE9" w14:textId="77777777" w:rsidR="00404B18" w:rsidRDefault="00404B18" w:rsidP="00404B18">
      <w:pPr>
        <w:tabs>
          <w:tab w:val="left" w:pos="2918"/>
        </w:tabs>
      </w:pPr>
      <w:r>
        <w:t>CESSANDO, por 10 (dez) dias, a partir de 09/09/2026, e por 20 (vinte) dias, a partir de 21/09/2026, os efeitos da Portaria nº 30/26, que designou CLAUDIA MOTA KIYAM, Técnico Legislativo, referência QPL-14, registro nº 11.248, para exercer a função de Supervisor da Unidade de Expediente da Procuradoria, referência FG-1.</w:t>
      </w:r>
    </w:p>
    <w:p w14:paraId="2356F7B0" w14:textId="77777777" w:rsidR="00404B18" w:rsidRDefault="00404B18" w:rsidP="00404B18">
      <w:pPr>
        <w:tabs>
          <w:tab w:val="left" w:pos="2918"/>
        </w:tabs>
      </w:pPr>
      <w:r>
        <w:t>PORTARIA 229/26</w:t>
      </w:r>
    </w:p>
    <w:p w14:paraId="5A68DDB3" w14:textId="77777777" w:rsidR="00404B18" w:rsidRDefault="00404B18" w:rsidP="00404B18">
      <w:pPr>
        <w:tabs>
          <w:tab w:val="left" w:pos="2918"/>
        </w:tabs>
      </w:pPr>
      <w:r>
        <w:t>DESIGNANDO BRUNO LUCCHETTA, Técnico Legislativo, referência QPL-9, registro nº 11.455, para exercer a função de Supervisor da Unidade de Expediente da Procuradoria, referência FG-1, por 10 (dez) dias, a partir de 09/09/2026, e por 20 (vinte) dias, a partir de 21/09/2026.</w:t>
      </w:r>
    </w:p>
    <w:p w14:paraId="040DEFCD" w14:textId="77777777" w:rsidR="00404B18" w:rsidRDefault="00404B18" w:rsidP="00404B18">
      <w:pPr>
        <w:tabs>
          <w:tab w:val="left" w:pos="2918"/>
        </w:tabs>
      </w:pPr>
      <w:r>
        <w:t>MESA DA CÂMARA</w:t>
      </w:r>
    </w:p>
    <w:p w14:paraId="25B541CC" w14:textId="77777777" w:rsidR="00404B18" w:rsidRDefault="00404B18" w:rsidP="00404B18">
      <w:pPr>
        <w:tabs>
          <w:tab w:val="left" w:pos="2918"/>
        </w:tabs>
      </w:pPr>
      <w:r>
        <w:t>TÍTULO DE APOSENTADORIA Nº 01/2026</w:t>
      </w:r>
    </w:p>
    <w:p w14:paraId="35A9FD09" w14:textId="77777777" w:rsidR="00404B18" w:rsidRDefault="00404B18" w:rsidP="00404B18">
      <w:pPr>
        <w:tabs>
          <w:tab w:val="left" w:pos="2918"/>
        </w:tabs>
      </w:pPr>
      <w:r>
        <w:t>A MESA DIRETORA DA CÂMARA MUNICIPAL DE SÃO PAULO, nos termos do art. 1º, alínea i, do Ato nº 1.068/09, alterado pelo Ato nº 1.591/23, com fundamento no art. 3º da Emenda Constitucional nº 47/2005 (com paridade), e nas informações constantes do processo administrativo n° 223/2025, DECLARA aposentada, por tempo de contribuição, a senhora SIMONE DE MELO LINS registro nº 11.091, Consultor Técnico Legislativo - Administração, referência QPL-22.</w:t>
      </w:r>
    </w:p>
    <w:p w14:paraId="555D1883" w14:textId="77777777" w:rsidR="00404B18" w:rsidRDefault="00404B18" w:rsidP="00404B18">
      <w:pPr>
        <w:tabs>
          <w:tab w:val="left" w:pos="2918"/>
        </w:tabs>
      </w:pPr>
      <w:r>
        <w:t>PORTARIA 672/26</w:t>
      </w:r>
    </w:p>
    <w:p w14:paraId="6F82360C" w14:textId="77777777" w:rsidR="00404B18" w:rsidRDefault="00404B18" w:rsidP="00404B18">
      <w:pPr>
        <w:tabs>
          <w:tab w:val="left" w:pos="2918"/>
        </w:tabs>
      </w:pPr>
      <w:r>
        <w:t>EXONERANDO, a pedido, DIEGO DE SOUZA, registro 232335, do cargo de ASSESSOR ESPECIAL DE GABINETE, referência QPLCG-5, do 22º Gabinete de Vereador, a partir de 20 de agosto de 2026.</w:t>
      </w:r>
    </w:p>
    <w:p w14:paraId="7160701B" w14:textId="77777777" w:rsidR="00404B18" w:rsidRDefault="00404B18" w:rsidP="00404B18">
      <w:pPr>
        <w:tabs>
          <w:tab w:val="left" w:pos="2918"/>
        </w:tabs>
      </w:pPr>
      <w:r>
        <w:t>PORTARIA 673/26</w:t>
      </w:r>
    </w:p>
    <w:p w14:paraId="1BB99E7E" w14:textId="77777777" w:rsidR="00404B18" w:rsidRDefault="00404B18" w:rsidP="00404B18">
      <w:pPr>
        <w:tabs>
          <w:tab w:val="left" w:pos="2918"/>
        </w:tabs>
      </w:pPr>
      <w:r>
        <w:t>EXONERANDO, a pedido, ADRIANO CESAR VAZ FILHO, registro 233528, do cargo de ASSESSOR DE GABINETE, referência QPLCG-3, do 24º Gabinete de Vereador, a partir de 18 de agosto de 2026.</w:t>
      </w:r>
    </w:p>
    <w:p w14:paraId="3B0203CB" w14:textId="77777777" w:rsidR="00404B18" w:rsidRDefault="00404B18" w:rsidP="00404B18">
      <w:pPr>
        <w:tabs>
          <w:tab w:val="left" w:pos="2918"/>
        </w:tabs>
      </w:pPr>
      <w:r>
        <w:t>PORTARIA 674/26</w:t>
      </w:r>
    </w:p>
    <w:p w14:paraId="5758492D" w14:textId="77777777" w:rsidR="00404B18" w:rsidRDefault="00404B18" w:rsidP="00404B18">
      <w:pPr>
        <w:tabs>
          <w:tab w:val="left" w:pos="2918"/>
        </w:tabs>
      </w:pPr>
      <w:r>
        <w:t>NOMEANDO GILBERTO DALMASO, para exercer, em comissão, o cargo de COORDENADOR ESPECIAL LEGISLATIVO, referência QPLCG-9, no 38º Gabinete de Vereador.</w:t>
      </w:r>
    </w:p>
    <w:p w14:paraId="70FC39A8" w14:textId="77777777" w:rsidR="00404B18" w:rsidRDefault="00404B18" w:rsidP="00404B18">
      <w:pPr>
        <w:tabs>
          <w:tab w:val="left" w:pos="2918"/>
        </w:tabs>
      </w:pPr>
      <w:r>
        <w:t>PORTARIA 675/26</w:t>
      </w:r>
    </w:p>
    <w:p w14:paraId="173CDAF8" w14:textId="77777777" w:rsidR="00404B18" w:rsidRDefault="00404B18" w:rsidP="00404B18">
      <w:pPr>
        <w:tabs>
          <w:tab w:val="left" w:pos="2918"/>
        </w:tabs>
      </w:pPr>
      <w:r>
        <w:lastRenderedPageBreak/>
        <w:t>NOMEANDO SIDNEI MORAES DA CRUZ, para exercer, em comissão, o cargo de ASSESSOR DE GABINETE, referência QPLCG-3, no 24º Gabinete de Vereador.</w:t>
      </w:r>
    </w:p>
    <w:p w14:paraId="14A9162B" w14:textId="77777777" w:rsidR="00404B18" w:rsidRDefault="00404B18" w:rsidP="00404B18">
      <w:pPr>
        <w:tabs>
          <w:tab w:val="left" w:pos="2918"/>
        </w:tabs>
      </w:pPr>
      <w:r>
        <w:t>SECRETARIA GERAL ADMINISTRATIVA</w:t>
      </w:r>
    </w:p>
    <w:p w14:paraId="35C41A55" w14:textId="77777777" w:rsidR="00404B18" w:rsidRDefault="00404B18" w:rsidP="00404B18">
      <w:pPr>
        <w:tabs>
          <w:tab w:val="left" w:pos="2918"/>
        </w:tabs>
      </w:pPr>
      <w:r>
        <w:t>PORTARIA 135/26</w:t>
      </w:r>
    </w:p>
    <w:p w14:paraId="3F32F6E3" w14:textId="77777777" w:rsidR="00404B18" w:rsidRDefault="00404B18" w:rsidP="00404B18">
      <w:pPr>
        <w:tabs>
          <w:tab w:val="left" w:pos="2918"/>
        </w:tabs>
      </w:pPr>
      <w:r>
        <w:t xml:space="preserve">DESIGNANDO CLAUDIA MOTA KIYAM, Técnico Legislativo, referência QPL-14, registro nº 11.248, para </w:t>
      </w:r>
      <w:proofErr w:type="spellStart"/>
      <w:r>
        <w:t>substituirSANDRO</w:t>
      </w:r>
      <w:proofErr w:type="spellEnd"/>
      <w:r>
        <w:t xml:space="preserve"> BORGES, Técnico Legislativo, referência QPL-9, registro nº 11.490, na função de Supervisor da Equipe de Integração e Gestão do Conhecimento</w:t>
      </w:r>
    </w:p>
    <w:p w14:paraId="21362B4C" w14:textId="77777777" w:rsidR="00404B18" w:rsidRDefault="00404B18" w:rsidP="00404B18">
      <w:pPr>
        <w:tabs>
          <w:tab w:val="left" w:pos="2918"/>
        </w:tabs>
      </w:pPr>
      <w:r>
        <w:t>Jurídico, referência FG-2, enquanto durar os seus impedimentos por férias de 10 (dez) dias, referente ao saldo de dias do período aquisitivo de 01/10/23 a 30/09/24, a partir de 09/09/2026, e de 20 (vinte) dias, referente ao período aquisitivo de 01/10/24 a 30/09/25, a partir de 21/09/2026.</w:t>
      </w:r>
    </w:p>
    <w:p w14:paraId="3627CB5E" w14:textId="77777777" w:rsidR="00404B18" w:rsidRDefault="00404B18" w:rsidP="00404B18">
      <w:pPr>
        <w:tabs>
          <w:tab w:val="left" w:pos="2918"/>
        </w:tabs>
      </w:pPr>
      <w:r>
        <w:t>PORTARIA 136/26</w:t>
      </w:r>
    </w:p>
    <w:p w14:paraId="2FB196F0" w14:textId="77777777" w:rsidR="00404B18" w:rsidRDefault="00404B18" w:rsidP="00404B18">
      <w:pPr>
        <w:tabs>
          <w:tab w:val="left" w:pos="2918"/>
        </w:tabs>
      </w:pPr>
      <w:r>
        <w:t xml:space="preserve">DESIGNANDO YOSHIE KAMEI TAWADA, Auxiliar Legislativo, referência QPL-4, registro nº 11.370, para </w:t>
      </w:r>
      <w:proofErr w:type="spellStart"/>
      <w:r>
        <w:t>substituirSANDRO</w:t>
      </w:r>
      <w:proofErr w:type="spellEnd"/>
      <w:r>
        <w:t xml:space="preserve"> BORGES, Técnico Legislativo, referência QPL-9, registro nº 11.490, na função de membro-auxiliar da Comissão Processante Disciplinar, enquanto durar os seus impedimentos por férias de 10 (dez) dias, referente ao saldo de dias do período aquisitivo de 01/10/23 a 30/09/24,a partir de 09/09/2026, e de 20 (vinte) dias, referente ao período aquisitivo de 01/10/24 a 30/09/25,a partir de 21/09/2026.</w:t>
      </w:r>
    </w:p>
    <w:p w14:paraId="4AF83B18" w14:textId="77777777" w:rsidR="00404B18" w:rsidRDefault="00404B18" w:rsidP="00404B18">
      <w:pPr>
        <w:tabs>
          <w:tab w:val="left" w:pos="2918"/>
        </w:tabs>
      </w:pPr>
      <w:r>
        <w:t>RESCISÃO DE CONTRATO DE TRABALHO</w:t>
      </w:r>
    </w:p>
    <w:p w14:paraId="2FFFF39E" w14:textId="77777777" w:rsidR="00404B18" w:rsidRDefault="00404B18" w:rsidP="00404B18">
      <w:pPr>
        <w:tabs>
          <w:tab w:val="left" w:pos="2918"/>
        </w:tabs>
      </w:pPr>
      <w:proofErr w:type="spellStart"/>
      <w:r>
        <w:t>Liobino</w:t>
      </w:r>
      <w:proofErr w:type="spellEnd"/>
      <w:r>
        <w:t xml:space="preserve"> dos Santos Aguiar - RF 100.214 - Proc. 202/26</w:t>
      </w:r>
    </w:p>
    <w:p w14:paraId="0931BD75" w14:textId="77777777" w:rsidR="00404B18" w:rsidRDefault="00404B18" w:rsidP="00404B18">
      <w:pPr>
        <w:tabs>
          <w:tab w:val="left" w:pos="2918"/>
        </w:tabs>
      </w:pPr>
      <w:r>
        <w:t xml:space="preserve">À vista das informações prestadas pela Secretaria de Recursos Humanos e com fundamento no inciso XVIII do art. 1º do Ato 832/03, AUTORIZO a rescisão do contrato de trabalho do servidor </w:t>
      </w:r>
      <w:proofErr w:type="spellStart"/>
      <w:r>
        <w:t>Liobino</w:t>
      </w:r>
      <w:proofErr w:type="spellEnd"/>
      <w:r>
        <w:t xml:space="preserve"> dos Santos Aguiar, registro funcional 100.214, com dispensa do aviso prévio, a partir do dia 18 de agosto de 2026.</w:t>
      </w:r>
    </w:p>
    <w:p w14:paraId="543DE8CD" w14:textId="77777777" w:rsidR="00404B18" w:rsidRDefault="00404B18" w:rsidP="00404B18">
      <w:pPr>
        <w:tabs>
          <w:tab w:val="left" w:pos="2918"/>
        </w:tabs>
      </w:pPr>
      <w:r>
        <w:t>Retificação da publicação do dia 20/08/2026</w:t>
      </w:r>
    </w:p>
    <w:p w14:paraId="6618DC42" w14:textId="77777777" w:rsidR="00404B18" w:rsidRDefault="00404B18" w:rsidP="00404B18">
      <w:pPr>
        <w:tabs>
          <w:tab w:val="left" w:pos="2918"/>
        </w:tabs>
      </w:pPr>
      <w:r>
        <w:t>Mesa da Câmara</w:t>
      </w:r>
    </w:p>
    <w:p w14:paraId="62C6BD5F" w14:textId="77777777" w:rsidR="00404B18" w:rsidRDefault="00404B18" w:rsidP="00404B18">
      <w:pPr>
        <w:tabs>
          <w:tab w:val="left" w:pos="2918"/>
        </w:tabs>
      </w:pPr>
      <w:r>
        <w:t>Leia-se como segue e não como constou:</w:t>
      </w:r>
    </w:p>
    <w:p w14:paraId="7D5BC6D7" w14:textId="77777777" w:rsidR="00404B18" w:rsidRDefault="00404B18" w:rsidP="00404B18">
      <w:pPr>
        <w:tabs>
          <w:tab w:val="left" w:pos="2918"/>
        </w:tabs>
      </w:pPr>
      <w:r>
        <w:t>“PORTARIA 671/26</w:t>
      </w:r>
    </w:p>
    <w:p w14:paraId="44E8246F" w14:textId="77777777" w:rsidR="00404B18" w:rsidRDefault="00404B18" w:rsidP="00404B18">
      <w:pPr>
        <w:tabs>
          <w:tab w:val="left" w:pos="2918"/>
        </w:tabs>
      </w:pPr>
      <w:r>
        <w:t>NOMEANDO DELENILSON SOUSA SANTOS, para exercer, em comissão, o cargo de ASSESSOR DE GABINETE, referência QPLCG-3, no 48º Gabinete de Vereador.”.</w:t>
      </w:r>
    </w:p>
    <w:p w14:paraId="18CA99C2" w14:textId="77777777" w:rsidR="00404B18" w:rsidRDefault="00404B18" w:rsidP="00404B18">
      <w:pPr>
        <w:tabs>
          <w:tab w:val="left" w:pos="2918"/>
        </w:tabs>
      </w:pPr>
      <w:r>
        <w:t>EQUIPE DE SECRETARIA DAS COMISSÕES DO PROCESSO LEGISLATIVO</w:t>
      </w:r>
    </w:p>
    <w:p w14:paraId="2F795C61" w14:textId="77777777" w:rsidR="00404B18" w:rsidRDefault="00404B18" w:rsidP="00404B18">
      <w:pPr>
        <w:tabs>
          <w:tab w:val="left" w:pos="2918"/>
        </w:tabs>
      </w:pPr>
      <w:r>
        <w:lastRenderedPageBreak/>
        <w:t>Comunicado | Documento: 163524515</w:t>
      </w:r>
    </w:p>
    <w:p w14:paraId="5DD9B1DB" w14:textId="77777777" w:rsidR="00404B18" w:rsidRDefault="00404B18" w:rsidP="00404B18">
      <w:pPr>
        <w:tabs>
          <w:tab w:val="left" w:pos="2918"/>
        </w:tabs>
      </w:pPr>
      <w:r>
        <w:t>Comissão de Educação, Cultura e Esportes Audiência Pública A Comissão de Educação, Cultura e Esportes da Câmara Municipal de São Paulo convida o público interessado a participar de Audiência</w:t>
      </w:r>
    </w:p>
    <w:p w14:paraId="0388F661" w14:textId="77777777" w:rsidR="00404B18" w:rsidRDefault="00404B18" w:rsidP="00404B18">
      <w:pPr>
        <w:tabs>
          <w:tab w:val="left" w:pos="2918"/>
        </w:tabs>
      </w:pPr>
      <w:r>
        <w:t>Pública para Audiência Pública em cumprimento ao Art. 209 da Lei Orgânica do Município, para apresentação do Relatório Detalhado e</w:t>
      </w:r>
    </w:p>
    <w:p w14:paraId="38609638" w14:textId="77777777" w:rsidR="00404B18" w:rsidRDefault="00404B18" w:rsidP="00404B18">
      <w:pPr>
        <w:tabs>
          <w:tab w:val="left" w:pos="2918"/>
        </w:tabs>
      </w:pPr>
      <w:r>
        <w:t>Prestação de Contas da Educação Municipal, referente ao 2º Trimestre de 2026. Data: 26/08/2026</w:t>
      </w:r>
    </w:p>
    <w:p w14:paraId="6C6FB7E9" w14:textId="77777777" w:rsidR="00404B18" w:rsidRDefault="00404B18" w:rsidP="00404B18">
      <w:pPr>
        <w:tabs>
          <w:tab w:val="left" w:pos="2918"/>
        </w:tabs>
      </w:pPr>
      <w:r>
        <w:t>Horário: 13:30h</w:t>
      </w:r>
    </w:p>
    <w:p w14:paraId="14EF501F" w14:textId="77777777" w:rsidR="00404B18" w:rsidRDefault="00404B18" w:rsidP="00404B18">
      <w:pPr>
        <w:tabs>
          <w:tab w:val="left" w:pos="2918"/>
        </w:tabs>
      </w:pPr>
      <w:r>
        <w:t>Local: Câmara Municipal de São Paulo - Sala Tiradentes (8º andar) e Auditório Virtual</w:t>
      </w:r>
    </w:p>
    <w:p w14:paraId="3BE16D15" w14:textId="77777777" w:rsidR="00404B18" w:rsidRDefault="00404B18" w:rsidP="00404B18">
      <w:pPr>
        <w:tabs>
          <w:tab w:val="left" w:pos="2918"/>
        </w:tabs>
      </w:pPr>
      <w:r>
        <w:t>Endereço: Viaduto Jacareí, 100 - Bela Vista</w:t>
      </w:r>
    </w:p>
    <w:p w14:paraId="5222A4D5" w14:textId="77777777" w:rsidR="00404B18" w:rsidRDefault="00404B18" w:rsidP="00404B18">
      <w:pPr>
        <w:tabs>
          <w:tab w:val="left" w:pos="2918"/>
        </w:tabs>
      </w:pPr>
      <w:r>
        <w:t>PARA ASSISTIR: Será permitido o acesso do público até o limite de capacidade do auditório. O evento será transmitido ao vivo pelo portal</w:t>
      </w:r>
    </w:p>
    <w:p w14:paraId="161A4FEE" w14:textId="77777777" w:rsidR="00404B18" w:rsidRDefault="00404B18" w:rsidP="00404B18">
      <w:pPr>
        <w:tabs>
          <w:tab w:val="left" w:pos="2918"/>
        </w:tabs>
      </w:pPr>
      <w:r>
        <w:t>da Câmara Municipal de São Paulo, através dos Auditórios Online</w:t>
      </w:r>
    </w:p>
    <w:p w14:paraId="0A791B0E" w14:textId="77777777" w:rsidR="00404B18" w:rsidRDefault="00404B18" w:rsidP="00404B18">
      <w:pPr>
        <w:tabs>
          <w:tab w:val="left" w:pos="2918"/>
        </w:tabs>
      </w:pPr>
      <w:r>
        <w:t>(www.saopaulo.sp.leg.br/</w:t>
      </w:r>
      <w:proofErr w:type="spellStart"/>
      <w:r>
        <w:t>transparencia</w:t>
      </w:r>
      <w:proofErr w:type="spellEnd"/>
      <w:r>
        <w:t>/</w:t>
      </w:r>
      <w:proofErr w:type="spellStart"/>
      <w:r>
        <w:t>auditorios</w:t>
      </w:r>
      <w:proofErr w:type="spellEnd"/>
      <w:r>
        <w:t>-online), e pelo canal da Câmara Municipal no YouTube</w:t>
      </w:r>
    </w:p>
    <w:p w14:paraId="630FA766" w14:textId="77777777" w:rsidR="00404B18" w:rsidRDefault="00404B18" w:rsidP="00404B18">
      <w:pPr>
        <w:tabs>
          <w:tab w:val="left" w:pos="2918"/>
        </w:tabs>
      </w:pPr>
      <w:r>
        <w:t>(www.youtube.com/</w:t>
      </w:r>
      <w:proofErr w:type="spellStart"/>
      <w:r>
        <w:t>camarasaopaulo</w:t>
      </w:r>
      <w:proofErr w:type="spellEnd"/>
      <w:r>
        <w:t>).</w:t>
      </w:r>
    </w:p>
    <w:p w14:paraId="6A95E08C" w14:textId="77777777" w:rsidR="00404B18" w:rsidRDefault="00404B18" w:rsidP="00404B18">
      <w:pPr>
        <w:tabs>
          <w:tab w:val="left" w:pos="2918"/>
        </w:tabs>
      </w:pPr>
      <w:r>
        <w:t>PARA PARTICIPAR: Inscreva-se para participar ao vivo por videoconferência através do Portal da CMSP na internet, em</w:t>
      </w:r>
    </w:p>
    <w:p w14:paraId="12D45BAA" w14:textId="77777777" w:rsidR="00404B18" w:rsidRDefault="00404B18" w:rsidP="00404B18">
      <w:pPr>
        <w:tabs>
          <w:tab w:val="left" w:pos="2918"/>
        </w:tabs>
      </w:pPr>
      <w:r>
        <w:t>(http://www.saopaulo.sp.leg.br/</w:t>
      </w:r>
      <w:proofErr w:type="spellStart"/>
      <w:r>
        <w:t>audienciaspublicas</w:t>
      </w:r>
      <w:proofErr w:type="spellEnd"/>
      <w:r>
        <w:t>). Também serão permitidas inscrições para participação do público presente no auditório.</w:t>
      </w:r>
    </w:p>
    <w:p w14:paraId="77CD4572" w14:textId="77777777" w:rsidR="00404B18" w:rsidRDefault="00404B18" w:rsidP="00404B18">
      <w:pPr>
        <w:tabs>
          <w:tab w:val="left" w:pos="2918"/>
        </w:tabs>
      </w:pPr>
      <w:r>
        <w:t>Para maiores informações: educ@saopaulo.sp.leg.br</w:t>
      </w:r>
    </w:p>
    <w:p w14:paraId="18EE2B90" w14:textId="77777777" w:rsidR="00404B18" w:rsidRDefault="00404B18" w:rsidP="00404B18">
      <w:pPr>
        <w:tabs>
          <w:tab w:val="left" w:pos="2918"/>
        </w:tabs>
      </w:pPr>
      <w:r>
        <w:t xml:space="preserve">Comissão de Finanças e Orçamento Audiência Pública A Comissão de Finanças e Orçamento da Câmara Municipal de São Paulo convida o público interessado a participar de Audiência Pública para debater o Projeto de Lei nº 622/2025, de autoria do Vereador </w:t>
      </w:r>
      <w:proofErr w:type="spellStart"/>
      <w:r>
        <w:t>Dheison</w:t>
      </w:r>
      <w:proofErr w:type="spellEnd"/>
      <w:r>
        <w:t xml:space="preserve"> Silva (PT), que dispõe sobre a Criação da Lei de Fomento ao Rock, no Município de São Paulo, conforme Requerimento 28/2026, de autoria do Ver. João Ananias, aprovado em 20/05/2026. Data: 26/08/2026</w:t>
      </w:r>
    </w:p>
    <w:p w14:paraId="040A049D" w14:textId="77777777" w:rsidR="00404B18" w:rsidRDefault="00404B18" w:rsidP="00404B18">
      <w:pPr>
        <w:tabs>
          <w:tab w:val="left" w:pos="2918"/>
        </w:tabs>
      </w:pPr>
      <w:r>
        <w:t>Horário: 19h</w:t>
      </w:r>
    </w:p>
    <w:p w14:paraId="0F5FB196" w14:textId="77777777" w:rsidR="00404B18" w:rsidRDefault="00404B18" w:rsidP="00404B18">
      <w:pPr>
        <w:tabs>
          <w:tab w:val="left" w:pos="2918"/>
        </w:tabs>
      </w:pPr>
      <w:r>
        <w:t>Local: Câmara Municipal de São Paulo - Auditório Prestes Maia (1°andar) e Auditório Virtual</w:t>
      </w:r>
    </w:p>
    <w:p w14:paraId="652C83F5" w14:textId="77777777" w:rsidR="00404B18" w:rsidRDefault="00404B18" w:rsidP="00404B18">
      <w:pPr>
        <w:tabs>
          <w:tab w:val="left" w:pos="2918"/>
        </w:tabs>
      </w:pPr>
      <w:r>
        <w:t>Endereço: Viaduto Jacareí, 100 - Bela Vista</w:t>
      </w:r>
    </w:p>
    <w:p w14:paraId="77CF3E3E" w14:textId="77777777" w:rsidR="00404B18" w:rsidRDefault="00404B18" w:rsidP="00404B18">
      <w:pPr>
        <w:tabs>
          <w:tab w:val="left" w:pos="2918"/>
        </w:tabs>
      </w:pPr>
      <w:r>
        <w:lastRenderedPageBreak/>
        <w:t>PARA ASSISTIR: Será permitido o acesso do público até o limite de capacidade do auditório. O evento será transmitido ao vivo pelo portal</w:t>
      </w:r>
    </w:p>
    <w:p w14:paraId="6493D478" w14:textId="77777777" w:rsidR="00404B18" w:rsidRDefault="00404B18" w:rsidP="00404B18">
      <w:pPr>
        <w:tabs>
          <w:tab w:val="left" w:pos="2918"/>
        </w:tabs>
      </w:pPr>
      <w:r>
        <w:t>da Câmara Municipal de São Paulo, através dos Auditórios Online (www.saopaulo.sp.leg.br/</w:t>
      </w:r>
      <w:proofErr w:type="spellStart"/>
      <w:r>
        <w:t>transparencia</w:t>
      </w:r>
      <w:proofErr w:type="spellEnd"/>
      <w:r>
        <w:t>/</w:t>
      </w:r>
      <w:proofErr w:type="spellStart"/>
      <w:r>
        <w:t>auditorios</w:t>
      </w:r>
      <w:proofErr w:type="spellEnd"/>
      <w:r>
        <w:t>-online), e pelo canal</w:t>
      </w:r>
    </w:p>
    <w:p w14:paraId="164AFADB" w14:textId="77777777" w:rsidR="00404B18" w:rsidRDefault="00404B18" w:rsidP="00404B18">
      <w:pPr>
        <w:tabs>
          <w:tab w:val="left" w:pos="2918"/>
        </w:tabs>
      </w:pPr>
      <w:r>
        <w:t>da Câmara Municipal no YouTube (www.youtube.com/</w:t>
      </w:r>
      <w:proofErr w:type="spellStart"/>
      <w:r>
        <w:t>camarasaopaulo</w:t>
      </w:r>
      <w:proofErr w:type="spellEnd"/>
      <w:r>
        <w:t>).</w:t>
      </w:r>
    </w:p>
    <w:p w14:paraId="55864F51" w14:textId="77777777" w:rsidR="00404B18" w:rsidRDefault="00404B18" w:rsidP="00404B18">
      <w:pPr>
        <w:tabs>
          <w:tab w:val="left" w:pos="2918"/>
        </w:tabs>
      </w:pPr>
      <w:r>
        <w:t>PARA PARTICIPAR: Inscreva-se para participar ao vivo por videoconferência através do Portal da CMSP na internet, em</w:t>
      </w:r>
    </w:p>
    <w:p w14:paraId="1C9DB344" w14:textId="77777777" w:rsidR="00404B18" w:rsidRDefault="00404B18" w:rsidP="00404B18">
      <w:pPr>
        <w:tabs>
          <w:tab w:val="left" w:pos="2918"/>
        </w:tabs>
      </w:pPr>
      <w:r>
        <w:t>(http://www.saopaulo.sp.leg.br/</w:t>
      </w:r>
      <w:proofErr w:type="spellStart"/>
      <w:r>
        <w:t>audienciaspublicas</w:t>
      </w:r>
      <w:proofErr w:type="spellEnd"/>
      <w:r>
        <w:t>). Também serão permitidas inscrições para participação do público presente no auditório.</w:t>
      </w:r>
    </w:p>
    <w:p w14:paraId="68F2ED33" w14:textId="77777777" w:rsidR="00404B18" w:rsidRDefault="00404B18" w:rsidP="00404B18">
      <w:pPr>
        <w:tabs>
          <w:tab w:val="left" w:pos="2918"/>
        </w:tabs>
      </w:pPr>
      <w:r>
        <w:t>Para maiores informações: financas@saopaulo.sp.leg.br</w:t>
      </w:r>
    </w:p>
    <w:p w14:paraId="4A82B1E4" w14:textId="77777777" w:rsidR="00404B18" w:rsidRDefault="00404B18" w:rsidP="00404B18">
      <w:pPr>
        <w:tabs>
          <w:tab w:val="left" w:pos="2918"/>
        </w:tabs>
      </w:pPr>
      <w:r>
        <w:t>COMISSÃO DE TRÂNSITO, TRANSPORTE, MOBILIDADE URBANA E ATIVIDADE ECONÔMICA</w:t>
      </w:r>
    </w:p>
    <w:p w14:paraId="12EF550B" w14:textId="77777777" w:rsidR="00404B18" w:rsidRDefault="00404B18" w:rsidP="00404B18">
      <w:pPr>
        <w:tabs>
          <w:tab w:val="left" w:pos="2918"/>
        </w:tabs>
      </w:pPr>
      <w:r>
        <w:t>PARECER Nº 1175/2026 DA COMISSÃO DE TRÂNSITO, TRANSPORTE, MOBILIDADE URBANA E ATIVIDADE ECONÔMICA, SOBRE O PROJETO DE LEI Nº 655/2023</w:t>
      </w:r>
    </w:p>
    <w:p w14:paraId="029E38FA" w14:textId="77777777" w:rsidR="00404B18" w:rsidRDefault="00404B18" w:rsidP="00404B18">
      <w:pPr>
        <w:tabs>
          <w:tab w:val="left" w:pos="2918"/>
        </w:tabs>
      </w:pPr>
      <w:r>
        <w:t xml:space="preserve">Visa o presente projeto, de autoria do Vereador Professor Toninho </w:t>
      </w:r>
      <w:proofErr w:type="spellStart"/>
      <w:r>
        <w:t>Vespoli</w:t>
      </w:r>
      <w:proofErr w:type="spellEnd"/>
      <w:r>
        <w:t>, autorizar o Poder Executivo a regulamentar que empresas de</w:t>
      </w:r>
    </w:p>
    <w:p w14:paraId="0AFC8838" w14:textId="77777777" w:rsidR="00404B18" w:rsidRDefault="00404B18" w:rsidP="00404B18">
      <w:pPr>
        <w:tabs>
          <w:tab w:val="left" w:pos="2918"/>
        </w:tabs>
      </w:pPr>
      <w:r>
        <w:t>ônibus passem a construir guaritas com copa e banheiro para seus funcionários nas paradas finais dos ônibus na cidade de São Paulo. A iniciativa também estabelece que, por meio de parceria, o poder público poderá ceder espaços em praças ou terrenos públicos para a</w:t>
      </w:r>
    </w:p>
    <w:p w14:paraId="15028512" w14:textId="77777777" w:rsidR="00404B18" w:rsidRDefault="00404B18" w:rsidP="00404B18">
      <w:pPr>
        <w:tabs>
          <w:tab w:val="left" w:pos="2918"/>
        </w:tabs>
      </w:pPr>
      <w:r>
        <w:t>construção das referidas guaritas. De acordo com a Justificativa, objetiva-se propiciar a oportunidade para que os trabalhadores do sistema de transporte coletivo por ônibus do Município tenham acesso a instalações sanitárias adequadas. A Comissão de Constituição, Justiça e Legislação Participativa apresentou substitutivo para uma melhor técnica legislativa. A Comissão de Política Urbana, Metropolitana e Meio Ambiente apresentou parecer favorável ao substitutivo da Comissão de Constituição, Justiça e Legislação Participativa. A Comissão de Administração Pública também apresentou parecer favorável ao substitutivo da Comissão de Constituição, Justiça e</w:t>
      </w:r>
    </w:p>
    <w:p w14:paraId="1CB7BAE7" w14:textId="77777777" w:rsidR="00404B18" w:rsidRDefault="00404B18" w:rsidP="00404B18">
      <w:pPr>
        <w:tabs>
          <w:tab w:val="left" w:pos="2918"/>
        </w:tabs>
      </w:pPr>
      <w:r>
        <w:t>Legislação Participativa. Tendo em vista o interesse público de que se reveste a matéria, ao preservar os interesses dos trabalhadores do sistema de transporte</w:t>
      </w:r>
    </w:p>
    <w:p w14:paraId="4F8A036D" w14:textId="77777777" w:rsidR="00404B18" w:rsidRDefault="00404B18" w:rsidP="00404B18">
      <w:pPr>
        <w:tabs>
          <w:tab w:val="left" w:pos="2918"/>
        </w:tabs>
      </w:pPr>
      <w:r>
        <w:t xml:space="preserve">coletivo por ônibus da cidade de São Paulo, o qual possui cerca de 1.300 linhas e transporta milhões de passageiros diariamente, no âmbito da competência desta Comissão, apresentamos o seguinte substitutivo, com o objetivo de também </w:t>
      </w:r>
      <w:r>
        <w:lastRenderedPageBreak/>
        <w:t>permitir o acesso dos passageiros às instalações sanitárias mencionadas, tendo em vista que estes também carecem de infraestrutura sanitária adequada e</w:t>
      </w:r>
    </w:p>
    <w:p w14:paraId="7CB24413" w14:textId="77777777" w:rsidR="00404B18" w:rsidRDefault="00404B18" w:rsidP="00404B18">
      <w:pPr>
        <w:tabs>
          <w:tab w:val="left" w:pos="2918"/>
        </w:tabs>
      </w:pPr>
      <w:r>
        <w:t>confortável em seus deslocamentos por ônibus. SUBSTITUTIVO Nº DA COMISSÃO DE TRÂNSITO, TRANSPORTE, MOBILIDADE URBANA E ATIVIDADE ECONÔMICA, AO</w:t>
      </w:r>
    </w:p>
    <w:p w14:paraId="5DEA7C65" w14:textId="77777777" w:rsidR="00404B18" w:rsidRDefault="00404B18" w:rsidP="00404B18">
      <w:pPr>
        <w:tabs>
          <w:tab w:val="left" w:pos="2918"/>
        </w:tabs>
      </w:pPr>
      <w:r>
        <w:t>PROJETO DE LEI Nº 655/2023</w:t>
      </w:r>
    </w:p>
    <w:p w14:paraId="07B31353" w14:textId="77777777" w:rsidR="00404B18" w:rsidRDefault="00404B18" w:rsidP="00404B18">
      <w:pPr>
        <w:tabs>
          <w:tab w:val="left" w:pos="2918"/>
        </w:tabs>
      </w:pPr>
      <w:r>
        <w:t>Autoriza que as empresas de ônibus que operam no Município sejam obrigadas a construir guaritas nas paradas finais de ônibus, de modo a garantir condições dignas de trabalho e saúde aos seus funcionários e aos usuários do sistema de transporte coletivo. A Câmara Municipal de São Paulo DECRETA: Art. 1º Fica autorizado que as empresas de ônibus que operam no Município de São Paulo sejam obrigadas, na forma do regulamento, a</w:t>
      </w:r>
    </w:p>
    <w:p w14:paraId="7BF90874" w14:textId="77777777" w:rsidR="00404B18" w:rsidRDefault="00404B18" w:rsidP="00404B18">
      <w:pPr>
        <w:tabs>
          <w:tab w:val="left" w:pos="2918"/>
        </w:tabs>
      </w:pPr>
      <w:r>
        <w:t>construir guaritas com copa e banheiro nas paradas finais de ônibus, de modo a garantir condições dignas de trabalho e saúde aos seus</w:t>
      </w:r>
    </w:p>
    <w:p w14:paraId="1BC637EA" w14:textId="77777777" w:rsidR="00404B18" w:rsidRDefault="00404B18" w:rsidP="00404B18">
      <w:pPr>
        <w:tabs>
          <w:tab w:val="left" w:pos="2918"/>
        </w:tabs>
      </w:pPr>
      <w:r>
        <w:t>funcionários e aos usuários do sistema de transporte coletivo.</w:t>
      </w:r>
    </w:p>
    <w:p w14:paraId="1E5BC388" w14:textId="77777777" w:rsidR="00404B18" w:rsidRDefault="00404B18" w:rsidP="00404B18">
      <w:pPr>
        <w:tabs>
          <w:tab w:val="left" w:pos="2918"/>
        </w:tabs>
      </w:pPr>
      <w:r>
        <w:t>Parágrafo único. Por meio de parceria, o poder público poderá ceder espaços em praças ou terrenos públicos para o cumprimento do disposto no “caput”. Art. 2º As despesas com a execução desta Lei correrão por conta de dotações orçamentárias próprias, suplementadas, se necessário. Art. 3º Esta Lei entra em vigor na data de sua publicação. Sala da Comissão de Trânsito, Transporte e Atividade Econômica, em 20/08/2026</w:t>
      </w:r>
    </w:p>
    <w:p w14:paraId="416902BC" w14:textId="77777777" w:rsidR="00404B18" w:rsidRDefault="00404B18" w:rsidP="00404B18">
      <w:pPr>
        <w:tabs>
          <w:tab w:val="left" w:pos="2918"/>
        </w:tabs>
      </w:pPr>
      <w:r>
        <w:t>Ver. LUANA ALVES (PSOL)</w:t>
      </w:r>
    </w:p>
    <w:p w14:paraId="749AC753" w14:textId="77777777" w:rsidR="00404B18" w:rsidRDefault="00404B18" w:rsidP="00404B18">
      <w:pPr>
        <w:tabs>
          <w:tab w:val="left" w:pos="2918"/>
        </w:tabs>
      </w:pPr>
      <w:r>
        <w:t>Ver. NABIL BONDUKI (PT) - Presidente Ver. RENATA FALZONI (PSB) - Relatora Ver. RUTE COSTA (PL)</w:t>
      </w:r>
    </w:p>
    <w:p w14:paraId="70DDC3F8" w14:textId="77777777" w:rsidR="00404B18" w:rsidRDefault="00404B18" w:rsidP="00404B18">
      <w:pPr>
        <w:tabs>
          <w:tab w:val="left" w:pos="2918"/>
        </w:tabs>
      </w:pPr>
      <w:r>
        <w:t>Ver. NUNES PEIXEIRO (MDB)</w:t>
      </w:r>
    </w:p>
    <w:p w14:paraId="06B3F503" w14:textId="77777777" w:rsidR="00404B18" w:rsidRDefault="00404B18" w:rsidP="00404B18">
      <w:pPr>
        <w:tabs>
          <w:tab w:val="left" w:pos="2918"/>
        </w:tabs>
      </w:pPr>
      <w:r>
        <w:t>COMISSÃO DE SAÚDE, PROMOÇÃO SOCIAL, TRABALHO E MULHER</w:t>
      </w:r>
    </w:p>
    <w:p w14:paraId="40CB2791" w14:textId="77777777" w:rsidR="00404B18" w:rsidRDefault="00404B18" w:rsidP="00404B18">
      <w:pPr>
        <w:tabs>
          <w:tab w:val="left" w:pos="2918"/>
        </w:tabs>
      </w:pPr>
      <w:r>
        <w:t xml:space="preserve">PARECER N° 1151/2026 DA COMISSÃO DE SAÚDE, PROMOÇÃO SOCIAL, TRABALHO E MULHER SOBRE O PROJETO DE LEI Nº 289/2021. O presente projeto, de autoria dos nobres Vereadores Ricardo Teixeira, </w:t>
      </w:r>
      <w:proofErr w:type="spellStart"/>
      <w:r>
        <w:t>Thammy</w:t>
      </w:r>
      <w:proofErr w:type="spellEnd"/>
      <w:r>
        <w:t xml:space="preserve"> Miranda e Sandra Santana, dispõe sobre a criação de</w:t>
      </w:r>
    </w:p>
    <w:p w14:paraId="4CB9B759" w14:textId="77777777" w:rsidR="00404B18" w:rsidRDefault="00404B18" w:rsidP="00404B18">
      <w:pPr>
        <w:tabs>
          <w:tab w:val="left" w:pos="2918"/>
        </w:tabs>
      </w:pPr>
      <w:r>
        <w:t>espaços com poltronas para fins de aleitamento materno, na cidade de São Paulo, e dá outras providências. A Comissão de Constituição, Justiça e Legislação Participativa exarou parecer pela legalidade com substitutivo visando: (i) adequar o projeto a melhor técnica legislativa; (</w:t>
      </w:r>
      <w:proofErr w:type="spellStart"/>
      <w:r>
        <w:t>ii</w:t>
      </w:r>
      <w:proofErr w:type="spellEnd"/>
      <w:r>
        <w:t>) incluir sanção para a hipótese de descumprimento da lei, sem prejuízo de eventual alteração de</w:t>
      </w:r>
    </w:p>
    <w:p w14:paraId="0BBBAABA" w14:textId="77777777" w:rsidR="00404B18" w:rsidRDefault="00404B18" w:rsidP="00404B18">
      <w:pPr>
        <w:tabs>
          <w:tab w:val="left" w:pos="2918"/>
        </w:tabs>
      </w:pPr>
      <w:r>
        <w:lastRenderedPageBreak/>
        <w:t>seu valor pelas Comissões de Mérito, ressaltando que em atenção ao Princípio da Legalidade a fixação de multa não pode ser delegada</w:t>
      </w:r>
    </w:p>
    <w:p w14:paraId="3991496F" w14:textId="77777777" w:rsidR="00404B18" w:rsidRDefault="00404B18" w:rsidP="00404B18">
      <w:pPr>
        <w:tabs>
          <w:tab w:val="left" w:pos="2918"/>
        </w:tabs>
      </w:pPr>
      <w:r>
        <w:t>ao decreto regulamentador. A Comissão de Política Urbana, Metropolitana e Meio Ambiente emitiu parecer favorável com substitutivo para adequar o texto da Comissão de Justiça à melhor caracterização dos estabelecimentos abrangidos pela norma proposta. A Comissão de Administração Pública emitiu parecer favorável ao substitutivo da Comissão de Política Urbana, Metropolitana e Meio Ambiente. A proposta determina que todos os estabelecimentos classificados como Polos Geradores de Tráfego (PGT), conforme a Lei nº 15.150/2010, deverão reservar espaço equipado com poltronas destinado ao aleitamento materno, ficando isentos da obrigação os</w:t>
      </w:r>
    </w:p>
    <w:p w14:paraId="15BAF314" w14:textId="77777777" w:rsidR="00404B18" w:rsidRDefault="00404B18" w:rsidP="00404B18">
      <w:pPr>
        <w:tabs>
          <w:tab w:val="left" w:pos="2918"/>
        </w:tabs>
      </w:pPr>
      <w:r>
        <w:t>templos religiosos e locais de culto. Os estabelecimentos terão prazo de seis meses, contado da regulamentação da lei, para adaptar</w:t>
      </w:r>
    </w:p>
    <w:p w14:paraId="400C123E" w14:textId="77777777" w:rsidR="00404B18" w:rsidRDefault="00404B18" w:rsidP="00404B18">
      <w:pPr>
        <w:tabs>
          <w:tab w:val="left" w:pos="2918"/>
        </w:tabs>
      </w:pPr>
      <w:r>
        <w:t>suas instalações. Em caso de descumprimento, o proprietário receberá inicialmente advertência e, se a irregularidade não for sanada,</w:t>
      </w:r>
    </w:p>
    <w:p w14:paraId="2A24B568" w14:textId="77777777" w:rsidR="00404B18" w:rsidRDefault="00404B18" w:rsidP="00404B18">
      <w:pPr>
        <w:tabs>
          <w:tab w:val="left" w:pos="2918"/>
        </w:tabs>
      </w:pPr>
      <w:r>
        <w:t>será aplicada multa de R$ 10 mil. Em caso de reincidência, a multa será aplicada em dobro. Para esse fim, considera-se reincidência a prática de nova infração à mesma norma pelo mesmo infrator dentro do prazo de um mês, contado da data em que se tornar definitiva, na esfera administrativa, a penalidade referente à primeira infração. O valor da multa será atualizado anualmente pela variação acumulada do IPCA, apurado pelo IBGE, referente ao exercício anterior. Caso esse índice seja extinto, deverá ser utilizado aquele que vier a substituí-lo. Por fim, caberá ao Poder Executivo regulamentar a lei, estabelecendo as disposições necessárias à sua aplicação. Segundo a justificativa do projeto, o Ministério da Saúde aponta que o leite materno é o alimento ideal para a criança, sendo</w:t>
      </w:r>
    </w:p>
    <w:p w14:paraId="5D502B4D" w14:textId="77777777" w:rsidR="00404B18" w:rsidRDefault="00404B18" w:rsidP="00404B18">
      <w:pPr>
        <w:tabs>
          <w:tab w:val="left" w:pos="2918"/>
        </w:tabs>
      </w:pPr>
      <w:r>
        <w:t>recomendado de forma exclusiva até os seis meses de idade e, posteriormente, de maneira complementar a outros alimentos até os dois anos ou mais. Sua composição equilibrada atende às necessidades fisiológicas do bebê, apresenta fácil digestão, contribui para a hidratação e proporciona importante proteção imunológica, auxiliando na prevenção de diarreias, infecções de ouvido e doenças</w:t>
      </w:r>
    </w:p>
    <w:p w14:paraId="6799FE9D" w14:textId="77777777" w:rsidR="00404B18" w:rsidRDefault="00404B18" w:rsidP="00404B18">
      <w:pPr>
        <w:tabs>
          <w:tab w:val="left" w:pos="2918"/>
        </w:tabs>
      </w:pPr>
      <w:r>
        <w:t>respiratórias. Além disso, o ato de sucção favorece o adequado desenvolvimento da musculatura facial. Muitas mães, contudo, precisam</w:t>
      </w:r>
    </w:p>
    <w:p w14:paraId="19C9BE7B" w14:textId="77777777" w:rsidR="00404B18" w:rsidRDefault="00404B18" w:rsidP="00404B18">
      <w:pPr>
        <w:tabs>
          <w:tab w:val="left" w:pos="2918"/>
        </w:tabs>
      </w:pPr>
      <w:r>
        <w:t>frequentar supermercados, centros comerciais e outros estabelecimentos de grande circulação acompanhadas de seus bebês e nem</w:t>
      </w:r>
    </w:p>
    <w:p w14:paraId="6B9D284F" w14:textId="77777777" w:rsidR="00404B18" w:rsidRDefault="00404B18" w:rsidP="00404B18">
      <w:pPr>
        <w:tabs>
          <w:tab w:val="left" w:pos="2918"/>
        </w:tabs>
      </w:pPr>
      <w:r>
        <w:t xml:space="preserve">sempre dispõem de local adequado para amamentá-los. Nesse sentido, a disponibilização de espaços tranquilos e confortáveis destinados ao aleitamento materno mostra-se necessária para proporcionar melhores condições às mães e </w:t>
      </w:r>
      <w:r>
        <w:lastRenderedPageBreak/>
        <w:t xml:space="preserve">às crianças, contribuindo para a promoção da saúde e do bem-estar materno-infantil. Em face do exposto, a Comissão de Saúde, Promoção Social, Trabalho e Mulher, no âmbito de sua competência, entende que o presente projeto merece prosperar, eis que a medida </w:t>
      </w:r>
      <w:proofErr w:type="gramStart"/>
      <w:r>
        <w:t>mostra-se</w:t>
      </w:r>
      <w:proofErr w:type="gramEnd"/>
      <w:r>
        <w:t xml:space="preserve"> meritória por promover, proteger e apoiar o aleitamento materno, prática</w:t>
      </w:r>
    </w:p>
    <w:p w14:paraId="07203E50" w14:textId="77777777" w:rsidR="00404B18" w:rsidRDefault="00404B18" w:rsidP="00404B18">
      <w:pPr>
        <w:tabs>
          <w:tab w:val="left" w:pos="2918"/>
        </w:tabs>
      </w:pPr>
      <w:r>
        <w:t>reconhecidamente benéfica para a saúde da criança e da mulher. O leite materno apresenta composição nutricional adequada às necessidades do bebê, contribui para o fortalecimento do sistema imunológico e auxilia na proteção contra infecções gastrointestinais e</w:t>
      </w:r>
    </w:p>
    <w:p w14:paraId="7B032DD8" w14:textId="77777777" w:rsidR="00404B18" w:rsidRDefault="00404B18" w:rsidP="00404B18">
      <w:pPr>
        <w:tabs>
          <w:tab w:val="left" w:pos="2918"/>
        </w:tabs>
      </w:pPr>
      <w:r>
        <w:t>respiratórias, entre outras enfermidades. A amamentação também favorece o desenvolvimento da musculatura orofacial e fortalece o</w:t>
      </w:r>
    </w:p>
    <w:p w14:paraId="4402ACCE" w14:textId="77777777" w:rsidR="00404B18" w:rsidRDefault="00404B18" w:rsidP="00404B18">
      <w:pPr>
        <w:tabs>
          <w:tab w:val="left" w:pos="2918"/>
        </w:tabs>
      </w:pPr>
      <w:r>
        <w:t>vínculo entre mãe e filho, além de proporcionar benefícios à saúde materna. A disponibilização de espaços adequados e confortáveis para amamentação em estabelecimentos caracterizados como Polos Geradores de Tráfego contribui para reduzir barreiras à continuidade do aleitamento materno fora do ambiente doméstico. Considerando que esses locais apresentam significativa circulação de pessoas, a existência de poltronas destinadas a essa finalidade proporciona melhores condições de conforto e acolhimento às mães e aos bebês, evitando que a ausência de infraestrutura adequada dificulte ou desestimule a amamentação. Nesse sentido, a proposta está alinhada às ações de promoção da saúde materno-infantil, ao criar condições ambientais favoráveis para que a amamentação possa ser mantida durante a permanência da mãe e da criança em locais de grande circulação. Assim, sob a ótica da saúde, a iniciativa revela-se pertinente por incentivar uma prática de reconhecida importância para a nutrição, a proteção imunológica e o desenvolvimento saudável da</w:t>
      </w:r>
    </w:p>
    <w:p w14:paraId="35AC460F" w14:textId="77777777" w:rsidR="00404B18" w:rsidRDefault="00404B18" w:rsidP="00404B18">
      <w:pPr>
        <w:tabs>
          <w:tab w:val="left" w:pos="2918"/>
        </w:tabs>
      </w:pPr>
      <w:r>
        <w:t>criança, bem como para a saúde e o bem-estar maternos, sendo, portanto, o parecer favorável ao Substitutivo da Comissão de Política Urbana, Metropolitana e Meio Ambiente. Sala da Comissão de Saúde, Promoção Social, Trabalho e Mulher, em 19/08/2026. Ver. Ely Teruel (MDB) - Presidente Ver. Dra. Sandra Tadeu (PL) - Vice-presidente Ver. Adilson Amadeu (UNIÃO)</w:t>
      </w:r>
    </w:p>
    <w:p w14:paraId="2D088484" w14:textId="77777777" w:rsidR="00404B18" w:rsidRDefault="00404B18" w:rsidP="00404B18">
      <w:pPr>
        <w:tabs>
          <w:tab w:val="left" w:pos="2918"/>
        </w:tabs>
      </w:pPr>
      <w:r>
        <w:t>Ver. Amanda Paschoal (PSOL)</w:t>
      </w:r>
    </w:p>
    <w:p w14:paraId="3AD09857" w14:textId="77777777" w:rsidR="00404B18" w:rsidRDefault="00404B18" w:rsidP="00404B18">
      <w:pPr>
        <w:tabs>
          <w:tab w:val="left" w:pos="2918"/>
        </w:tabs>
      </w:pPr>
      <w:r>
        <w:t>Ver. Roberto Tripoli (PV) - Relatoria Ver. Simone Ganem (PODE)</w:t>
      </w:r>
    </w:p>
    <w:p w14:paraId="6F711A05" w14:textId="77777777" w:rsidR="00404B18" w:rsidRDefault="00404B18" w:rsidP="00404B18">
      <w:pPr>
        <w:tabs>
          <w:tab w:val="left" w:pos="2918"/>
        </w:tabs>
      </w:pPr>
      <w:r>
        <w:t>PARECER N° 1152/2026 DA COMISSÃO DE SAÚDE, PROMOÇÃO SOCIAL, TRABALHO E MULHER SOBRE O PROJETO DE LEI Nº 228/2022. O presente projeto, de autoria do nobre Vereador Isac Félix, dispõe sobre a capacitação de funcionários de estabelecimentos comerciais, na forma que especifica, com a finalidade de habilitá-los a identificar, prevenir e combater o assédio sexual e práticas relacionadas à</w:t>
      </w:r>
    </w:p>
    <w:p w14:paraId="6100188B" w14:textId="77777777" w:rsidR="00404B18" w:rsidRDefault="00404B18" w:rsidP="00404B18">
      <w:pPr>
        <w:tabs>
          <w:tab w:val="left" w:pos="2918"/>
        </w:tabs>
      </w:pPr>
      <w:r>
        <w:lastRenderedPageBreak/>
        <w:t>cultura do estupro praticadas contra mulheres, bem como estabelece outras providências correlatas. A Comissão de Constituição, Justiça e Legislação Participativa exarou parecer pela legalidade da matéria. A Comissão de Trânsito, Transporte e Atividade Econômica manifestou-se favoravelmente à aprovação da propositura. A proposição institui a obrigatoriedade de capacitação anual dos funcionários de bares, restaurantes, boates, clubes noturnos, casas de</w:t>
      </w:r>
    </w:p>
    <w:p w14:paraId="5BBA6788" w14:textId="77777777" w:rsidR="00404B18" w:rsidRDefault="00404B18" w:rsidP="00404B18">
      <w:pPr>
        <w:tabs>
          <w:tab w:val="left" w:pos="2918"/>
        </w:tabs>
      </w:pPr>
      <w:r>
        <w:t>espetáculo e estabelecimentos congêneres, com o objetivo de prepará-los para identificar, prevenir e enfrentar situações de assédio</w:t>
      </w:r>
    </w:p>
    <w:p w14:paraId="1922C0D9" w14:textId="77777777" w:rsidR="00404B18" w:rsidRDefault="00404B18" w:rsidP="00404B18">
      <w:pPr>
        <w:tabs>
          <w:tab w:val="left" w:pos="2918"/>
        </w:tabs>
      </w:pPr>
      <w:r>
        <w:t>sexual e outras formas de violência de gênero praticadas contra mulheres que frequentem ou trabalhem nesses locais. Para tanto, determina que os estabelecimentos promovam treinamentos específicos voltados ao acolhimento, à proteção e ao encaminhamento adequado das vítimas, contribuindo para a criação de ambientes mais seguros e aptos a lidar com tais situações. Além da capacitação, o projeto determina que os estabelecimentos afixem, em local de fácil visualização, aviso contendo a identificação do funcionário ou da funcionária responsável pelo atendimento de mulheres que se sintam em situação de risco. Prevê, ainda, que, uma</w:t>
      </w:r>
    </w:p>
    <w:p w14:paraId="654D02A5" w14:textId="77777777" w:rsidR="00404B18" w:rsidRDefault="00404B18" w:rsidP="00404B18">
      <w:pPr>
        <w:tabs>
          <w:tab w:val="left" w:pos="2918"/>
        </w:tabs>
      </w:pPr>
      <w:r>
        <w:t>vez identificada prática de assédio ou qualquer outra forma de violência, o estabelecimento deverá prestar suporte imediato à vítima, assegurando-lhe acolhimento e assistência até seu encaminhamento à residência, a unidade de saúde, à delegacia ou a outro local que</w:t>
      </w:r>
    </w:p>
    <w:p w14:paraId="566B6E86" w14:textId="77777777" w:rsidR="00404B18" w:rsidRDefault="00404B18" w:rsidP="00404B18">
      <w:pPr>
        <w:tabs>
          <w:tab w:val="left" w:pos="2918"/>
        </w:tabs>
      </w:pPr>
      <w:r>
        <w:t>se mostrar necessário. A proposição estabelece, igualmente, que os critérios técnicos relativos à capacitação e os procedimentos necessários à execução da</w:t>
      </w:r>
    </w:p>
    <w:p w14:paraId="727BEACF" w14:textId="77777777" w:rsidR="00404B18" w:rsidRDefault="00404B18" w:rsidP="00404B18">
      <w:pPr>
        <w:tabs>
          <w:tab w:val="left" w:pos="2918"/>
        </w:tabs>
      </w:pPr>
      <w:r>
        <w:t>futura lei serão disciplinados por decreto do Poder Executivo. Em caso de descumprimento das obrigações previstas, institui advertência na primeira infração e multa no valor de R$ 1.000,00 em caso de reincidência, assegurado o direito ao contraditório e à ampla defesa</w:t>
      </w:r>
    </w:p>
    <w:p w14:paraId="16EC0921" w14:textId="77777777" w:rsidR="00404B18" w:rsidRDefault="00404B18" w:rsidP="00404B18">
      <w:pPr>
        <w:tabs>
          <w:tab w:val="left" w:pos="2918"/>
        </w:tabs>
      </w:pPr>
      <w:r>
        <w:t>antes da aplicação definitiva da penalidade. Dispõe, ainda, que o valor da multa será atualizado anualmente com base na variação do</w:t>
      </w:r>
    </w:p>
    <w:p w14:paraId="7826E943" w14:textId="77777777" w:rsidR="00404B18" w:rsidRDefault="00404B18" w:rsidP="00404B18">
      <w:pPr>
        <w:tabs>
          <w:tab w:val="left" w:pos="2918"/>
        </w:tabs>
      </w:pPr>
      <w:r>
        <w:t>Índice Nacional de Preços ao Consumidor Amplo (IPCA), ou outro índice oficial que venha a substituí-lo. A violência sexual e o assédio contra mulheres em espaços de lazer e entretenimento constituem fenômenos complexos e estruturais, amplamente reconhecidos como problemas de saúde pública, de segurança urbana e de violação de direitos humanos. Estudos nacionais e internacionais demonstram que ambientes como bares, casas noturnas, restaurantes e eventos de entretenimento frequentemente</w:t>
      </w:r>
    </w:p>
    <w:p w14:paraId="07CFAAFA" w14:textId="77777777" w:rsidR="00404B18" w:rsidRDefault="00404B18" w:rsidP="00404B18">
      <w:pPr>
        <w:tabs>
          <w:tab w:val="left" w:pos="2918"/>
        </w:tabs>
      </w:pPr>
      <w:r>
        <w:lastRenderedPageBreak/>
        <w:t>apresentam condições que favorecem práticas de violência de gênero, especialmente em contextos marcados pelo consumo de álcool, pela hipersexualização das mulheres e pela naturalização de comportamentos abusivos (WORLD HEALTH ORGANIZATION, 2021). No âmbito das Ciências Sociais e dos Estudos de Gênero, o conceito de "cultura do estupro" refere-se ao conjunto de práticas sociais, discursos e padrões culturais que relativizam, silenciam ou naturalizam a violência sexual contra as mulheres. Conforme leciona a</w:t>
      </w:r>
    </w:p>
    <w:p w14:paraId="44DEE135" w14:textId="77777777" w:rsidR="00404B18" w:rsidRDefault="00404B18" w:rsidP="00404B18">
      <w:pPr>
        <w:tabs>
          <w:tab w:val="left" w:pos="2918"/>
        </w:tabs>
      </w:pPr>
      <w:r>
        <w:t>antropóloga Rita Laura Segato, a violência sexual não pode ser compreendida apenas como um ato individual, mas como manifestação de relações históricas de poder e dominação de gênero, reproduzidas em diferentes espaços sociais (SEGATO, 2016). Nessa perspectiva, o assédio sexual em ambientes de entretenimento configura expressão das desigualdades estruturais entre homens e mulheres,</w:t>
      </w:r>
    </w:p>
    <w:p w14:paraId="3572846C" w14:textId="77777777" w:rsidR="00404B18" w:rsidRDefault="00404B18" w:rsidP="00404B18">
      <w:pPr>
        <w:tabs>
          <w:tab w:val="left" w:pos="2918"/>
        </w:tabs>
      </w:pPr>
      <w:r>
        <w:t>frequentemente agravadas pela ausência de protocolos institucionais de prevenção, acolhimento e resposta às vítimas. Dados do Fórum Brasileiro de Segurança Pública demonstram que a maior parte das mulheres brasileiras já sofreu algum tipo de assédio em espaços públicos ou privados de convivência social, sendo recorrentes os relatos de importunação sexual em bares, festas e casas noturnas (FBSP, 2023). De igual modo, pesquisa realizada pelo Instituto Patrícia Galvão evidencia que o medo da violência sexual</w:t>
      </w:r>
    </w:p>
    <w:p w14:paraId="054EF8BB" w14:textId="77777777" w:rsidR="00404B18" w:rsidRDefault="00404B18" w:rsidP="00404B18">
      <w:pPr>
        <w:tabs>
          <w:tab w:val="left" w:pos="2918"/>
        </w:tabs>
      </w:pPr>
      <w:r>
        <w:t>interfere diretamente na liberdade de circulação das mulheres e modifica seus hábitos sociais, produzindo impactos psicológicos e</w:t>
      </w:r>
    </w:p>
    <w:p w14:paraId="41A8DB13" w14:textId="77777777" w:rsidR="00404B18" w:rsidRDefault="00404B18" w:rsidP="00404B18">
      <w:pPr>
        <w:tabs>
          <w:tab w:val="left" w:pos="2918"/>
        </w:tabs>
      </w:pPr>
      <w:r>
        <w:t>sociais significativos decorrentes dessas experiências (INSTITUTO PATRÍCIA GALVÃO, 2021). Sob a perspectiva da Saúde Pública, a violência sexual produz consequências físicas, emocionais e psicossociais de elevada gravidade. A</w:t>
      </w:r>
    </w:p>
    <w:p w14:paraId="05E94A23" w14:textId="77777777" w:rsidR="00404B18" w:rsidRDefault="00404B18" w:rsidP="00404B18">
      <w:pPr>
        <w:tabs>
          <w:tab w:val="left" w:pos="2918"/>
        </w:tabs>
      </w:pPr>
      <w:r>
        <w:t>Organização Mundial da Saúde reconhece que vítimas desse tipo de violência apresentam maiores índices de ansiedade, depressão,</w:t>
      </w:r>
    </w:p>
    <w:p w14:paraId="61CDD936" w14:textId="77777777" w:rsidR="00404B18" w:rsidRDefault="00404B18" w:rsidP="00404B18">
      <w:pPr>
        <w:tabs>
          <w:tab w:val="left" w:pos="2918"/>
        </w:tabs>
      </w:pPr>
      <w:r>
        <w:t>transtorno de estresse pós-traumático, abuso de substâncias psicoativas e isolamento social (WHO, 2021). Ademais, a ausência de</w:t>
      </w:r>
    </w:p>
    <w:p w14:paraId="3112C4CF" w14:textId="77777777" w:rsidR="00404B18" w:rsidRDefault="00404B18" w:rsidP="00404B18">
      <w:pPr>
        <w:tabs>
          <w:tab w:val="left" w:pos="2918"/>
        </w:tabs>
      </w:pPr>
      <w:r>
        <w:t>acolhimento adequado imediatamente após a ocorrência da violência pode agravar os danos psicológicos experimentados pela vítima e dificultar a formalização de denúncias perante as autoridades competentes. Nesse contexto, políticas públicas voltadas à capacitação de funcionários de estabelecimentos comerciais revelam-se importantes</w:t>
      </w:r>
    </w:p>
    <w:p w14:paraId="38150B06" w14:textId="77777777" w:rsidR="00404B18" w:rsidRDefault="00404B18" w:rsidP="00404B18">
      <w:pPr>
        <w:tabs>
          <w:tab w:val="left" w:pos="2918"/>
        </w:tabs>
      </w:pPr>
      <w:r>
        <w:t>instrumentos de prevenção situacional da violência. A literatura especializada em criminologia ambiental e prevenção criminal</w:t>
      </w:r>
    </w:p>
    <w:p w14:paraId="1A54A625" w14:textId="77777777" w:rsidR="00404B18" w:rsidRDefault="00404B18" w:rsidP="00404B18">
      <w:pPr>
        <w:tabs>
          <w:tab w:val="left" w:pos="2918"/>
        </w:tabs>
      </w:pPr>
      <w:r>
        <w:lastRenderedPageBreak/>
        <w:t>demonstra que intervenções institucionais em ambientes considerados de maior risco podem reduzir significativamente a ocorrência de práticas de violência interpessoal (CLARKE, 1997). A adoção de protocolos de identificação precoce, acolhimento e encaminhamento de</w:t>
      </w:r>
    </w:p>
    <w:p w14:paraId="3C769F6D" w14:textId="77777777" w:rsidR="00404B18" w:rsidRDefault="00404B18" w:rsidP="00404B18">
      <w:pPr>
        <w:tabs>
          <w:tab w:val="left" w:pos="2918"/>
        </w:tabs>
      </w:pPr>
      <w:r>
        <w:t>vítimas contribui para ampliar a percepção de segurança, reduzir a tolerância social ao assédio e fortalecer a rede de proteção às mulheres. Experiências internacionais reforçam a efetividade desse tipo de iniciativa. Em países como Reino Unido, Espanha e Canadá, programas de capacitação de equipes de bares, restaurantes e casas noturnas passaram a integrar estratégias públicas de enfrentamento à</w:t>
      </w:r>
    </w:p>
    <w:p w14:paraId="2DCEE51A" w14:textId="77777777" w:rsidR="00404B18" w:rsidRDefault="00404B18" w:rsidP="00404B18">
      <w:pPr>
        <w:tabs>
          <w:tab w:val="left" w:pos="2918"/>
        </w:tabs>
      </w:pPr>
      <w:r>
        <w:t>violência de gênero. Campanhas como "</w:t>
      </w:r>
      <w:proofErr w:type="spellStart"/>
      <w:r>
        <w:t>Ask</w:t>
      </w:r>
      <w:proofErr w:type="spellEnd"/>
      <w:r>
        <w:t xml:space="preserve"> for </w:t>
      </w:r>
      <w:proofErr w:type="spellStart"/>
      <w:r>
        <w:t>Angela</w:t>
      </w:r>
      <w:proofErr w:type="spellEnd"/>
      <w:r>
        <w:t>", implementada inicialmente no Reino Unido, criaram mecanismos discretos para</w:t>
      </w:r>
    </w:p>
    <w:p w14:paraId="7537DB60" w14:textId="77777777" w:rsidR="00404B18" w:rsidRDefault="00404B18" w:rsidP="00404B18">
      <w:pPr>
        <w:tabs>
          <w:tab w:val="left" w:pos="2918"/>
        </w:tabs>
      </w:pPr>
      <w:r>
        <w:t>solicitação de ajuda por mulheres em situação de risco, transformando os estabelecimentos em importantes parceiros na proteção das</w:t>
      </w:r>
    </w:p>
    <w:p w14:paraId="7AE7F645" w14:textId="77777777" w:rsidR="00404B18" w:rsidRDefault="00404B18" w:rsidP="00404B18">
      <w:pPr>
        <w:tabs>
          <w:tab w:val="left" w:pos="2918"/>
        </w:tabs>
      </w:pPr>
      <w:r>
        <w:t>vítimas (LINCOLNSHIRE COUNTY COUNCIL, 2016). No Brasil, observa-se avanço significativo da legislação destinada à proteção das mulheres em ambientes de lazer e entretenimento. A</w:t>
      </w:r>
    </w:p>
    <w:p w14:paraId="2FDFB3C5" w14:textId="77777777" w:rsidR="00404B18" w:rsidRDefault="00404B18" w:rsidP="00404B18">
      <w:pPr>
        <w:tabs>
          <w:tab w:val="left" w:pos="2918"/>
        </w:tabs>
      </w:pPr>
      <w:r>
        <w:t>Lei Federal nº 14.786, de 2023, que instituiu o denominado "Protocolo Não é Não", estabeleceu medidas voltadas à prevenção do</w:t>
      </w:r>
    </w:p>
    <w:p w14:paraId="34006C67" w14:textId="77777777" w:rsidR="00404B18" w:rsidRDefault="00404B18" w:rsidP="00404B18">
      <w:pPr>
        <w:tabs>
          <w:tab w:val="left" w:pos="2918"/>
        </w:tabs>
      </w:pPr>
      <w:r>
        <w:t>constrangimento, do assédio e da violência contra a mulher em eventos e estabelecimentos de grande circulação de pessoas,</w:t>
      </w:r>
    </w:p>
    <w:p w14:paraId="0F4B6B1C" w14:textId="77777777" w:rsidR="00404B18" w:rsidRDefault="00404B18" w:rsidP="00404B18">
      <w:pPr>
        <w:tabs>
          <w:tab w:val="left" w:pos="2918"/>
        </w:tabs>
      </w:pPr>
      <w:r>
        <w:t>consolidando o dever institucional de acolhimento e proteção das vítimas. A iniciativa ora analisada harmoniza-se com essa política pública nacional e reforça, no âmbito das competências suplementares do Município, a implementação de mecanismos preventivos</w:t>
      </w:r>
    </w:p>
    <w:p w14:paraId="5B58D3C8" w14:textId="77777777" w:rsidR="00404B18" w:rsidRDefault="00404B18" w:rsidP="00404B18">
      <w:pPr>
        <w:tabs>
          <w:tab w:val="left" w:pos="2918"/>
        </w:tabs>
      </w:pPr>
      <w:r>
        <w:t>capazes de ampliar a efetividade das medidas de proteção às mulheres em espaços de convivência coletiva. Do ponto de vista jurídico-constitucional, iniciativas dessa natureza encontram sólido fundamento nos princípios da dignidade da pessoa humana, da igualdade material e da proteção dos direitos fundamentais das mulheres, previstos nos artigos 1º, inciso III, 3º, inciso IV, e 5º da Constituição Federal. Soma-se a isso o fato de o Estado brasileiro ser signatário de importantes tratados internacionais de proteção aos direitos das mulheres, dentre os quais se destacam a Convenção sobre a Eliminação de Todas as Formas de Discriminação contra a Mulher (CEDAW) e a Convenção Interamericana para Prevenir, Punir e Erradicar a Violência contra a Mulher (Convenção de Belém do</w:t>
      </w:r>
    </w:p>
    <w:p w14:paraId="79C18BD9" w14:textId="77777777" w:rsidR="00404B18" w:rsidRDefault="00404B18" w:rsidP="00404B18">
      <w:pPr>
        <w:tabs>
          <w:tab w:val="left" w:pos="2918"/>
        </w:tabs>
      </w:pPr>
      <w:r>
        <w:t xml:space="preserve">Pará), que impõem aos entes estatais deveres positivos de prevenção, proteção e combate à violência de gênero. Sob o aspecto administrativo, a exigência de </w:t>
      </w:r>
      <w:r>
        <w:lastRenderedPageBreak/>
        <w:t>capacitação periódica dos funcionários apresenta nítido caráter preventivo e educativo, ao promover o desenvolvimento de competências institucionais para atuação em situações de risco. A formação continuada poderá</w:t>
      </w:r>
    </w:p>
    <w:p w14:paraId="111F0F20" w14:textId="77777777" w:rsidR="00404B18" w:rsidRDefault="00404B18" w:rsidP="00404B18">
      <w:pPr>
        <w:tabs>
          <w:tab w:val="left" w:pos="2918"/>
        </w:tabs>
      </w:pPr>
      <w:r>
        <w:t>abranger conteúdos relacionados à identificação de comportamentos abusivos, técnicas de abordagem segura, acolhimento humanizado, acionamento dos órgãos competentes e preservação da integridade física e emocional das vítimas. Tais medidas encontram-se em</w:t>
      </w:r>
    </w:p>
    <w:p w14:paraId="6F940BE0" w14:textId="77777777" w:rsidR="00404B18" w:rsidRDefault="00404B18" w:rsidP="00404B18">
      <w:pPr>
        <w:tabs>
          <w:tab w:val="left" w:pos="2918"/>
        </w:tabs>
      </w:pPr>
      <w:r>
        <w:t>consonância com as modernas diretrizes de governança, responsabilidade social empresarial e promoção de ambientes seguros e</w:t>
      </w:r>
    </w:p>
    <w:p w14:paraId="1D9874A2" w14:textId="77777777" w:rsidR="00404B18" w:rsidRDefault="00404B18" w:rsidP="00404B18">
      <w:pPr>
        <w:tabs>
          <w:tab w:val="left" w:pos="2918"/>
        </w:tabs>
      </w:pPr>
      <w:r>
        <w:t>inclusivos. A previsão de mecanismos de responsabilização administrativa para os estabelecimentos que descumprirem as obrigações legais</w:t>
      </w:r>
    </w:p>
    <w:p w14:paraId="7CBF1FD3" w14:textId="77777777" w:rsidR="00404B18" w:rsidRDefault="00404B18" w:rsidP="00404B18">
      <w:pPr>
        <w:tabs>
          <w:tab w:val="left" w:pos="2918"/>
        </w:tabs>
      </w:pPr>
      <w:r>
        <w:t>também desempenha relevante função pedagógica e preventiva. Conforme leciona a doutrina do Direito Administrativo Sancionador, a</w:t>
      </w:r>
    </w:p>
    <w:p w14:paraId="4B34CB9A" w14:textId="77777777" w:rsidR="00404B18" w:rsidRDefault="00404B18" w:rsidP="00404B18">
      <w:pPr>
        <w:tabs>
          <w:tab w:val="left" w:pos="2918"/>
        </w:tabs>
      </w:pPr>
      <w:r>
        <w:t>imposição de sanções administrativas possui finalidade não apenas repressiva, mas igualmente indutora de comportamentos</w:t>
      </w:r>
    </w:p>
    <w:p w14:paraId="4373A6CA" w14:textId="77777777" w:rsidR="00404B18" w:rsidRDefault="00404B18" w:rsidP="00404B18">
      <w:pPr>
        <w:tabs>
          <w:tab w:val="left" w:pos="2918"/>
        </w:tabs>
      </w:pPr>
      <w:r>
        <w:t>compatíveis com a ordem jurídica e voltados ao cumprimento das normas de interesse coletivo (DI PIETRO, 2022). Nessa perspectiva, a</w:t>
      </w:r>
    </w:p>
    <w:p w14:paraId="46D2770A" w14:textId="77777777" w:rsidR="00404B18" w:rsidRDefault="00404B18" w:rsidP="00404B18">
      <w:pPr>
        <w:tabs>
          <w:tab w:val="left" w:pos="2918"/>
        </w:tabs>
      </w:pPr>
      <w:r>
        <w:t>aplicação de advertências e multas estimula a efetiva implementação das medidas protetivas previstas na proposição.</w:t>
      </w:r>
    </w:p>
    <w:p w14:paraId="132D8471" w14:textId="77777777" w:rsidR="00404B18" w:rsidRDefault="00404B18" w:rsidP="00404B18">
      <w:pPr>
        <w:tabs>
          <w:tab w:val="left" w:pos="2918"/>
        </w:tabs>
      </w:pPr>
      <w:r>
        <w:t>Igualmente relevante é a determinação de afixação, em local de fácil visualização, de aviso contendo a identificação do funcionário ou da</w:t>
      </w:r>
    </w:p>
    <w:p w14:paraId="543E934E" w14:textId="77777777" w:rsidR="00404B18" w:rsidRDefault="00404B18" w:rsidP="00404B18">
      <w:pPr>
        <w:tabs>
          <w:tab w:val="left" w:pos="2918"/>
        </w:tabs>
      </w:pPr>
      <w:r>
        <w:t>funcionária responsável pelo acolhimento de mulheres em situação de risco. Estudos voltados à segurança urbana demonstram que a</w:t>
      </w:r>
    </w:p>
    <w:p w14:paraId="7FA5F046" w14:textId="77777777" w:rsidR="00404B18" w:rsidRDefault="00404B18" w:rsidP="00404B18">
      <w:pPr>
        <w:tabs>
          <w:tab w:val="left" w:pos="2918"/>
        </w:tabs>
      </w:pPr>
      <w:r>
        <w:t>visibilidade de canais de apoio e de mecanismos institucionais de proteção contribui para aumentar a confiança das vítimas na busca por auxílio, reduzindo situações de revitimização, omissão institucional e subnotificação de casos de violência (JACOBS, 2011). Sob uma perspectiva sociopolítica, a presente iniciativa dialoga com o crescente reconhecimento de que a violência contra a mulher não</w:t>
      </w:r>
    </w:p>
    <w:p w14:paraId="1BFF9E93" w14:textId="77777777" w:rsidR="00404B18" w:rsidRDefault="00404B18" w:rsidP="00404B18">
      <w:pPr>
        <w:tabs>
          <w:tab w:val="left" w:pos="2918"/>
        </w:tabs>
      </w:pPr>
      <w:r>
        <w:t>constitui questão privada ou episódica, mas fenômeno estrutural que exige a adoção de políticas públicas permanentes, articuladas e</w:t>
      </w:r>
    </w:p>
    <w:p w14:paraId="38732BAB" w14:textId="77777777" w:rsidR="00404B18" w:rsidRDefault="00404B18" w:rsidP="00404B18">
      <w:pPr>
        <w:tabs>
          <w:tab w:val="left" w:pos="2918"/>
        </w:tabs>
      </w:pPr>
      <w:r>
        <w:t>intersetoriais. A implementação de protocolos institucionais de prevenção e acolhimento em estabelecimentos privados de acesso</w:t>
      </w:r>
    </w:p>
    <w:p w14:paraId="355F16CA" w14:textId="77777777" w:rsidR="00404B18" w:rsidRDefault="00404B18" w:rsidP="00404B18">
      <w:pPr>
        <w:tabs>
          <w:tab w:val="left" w:pos="2918"/>
        </w:tabs>
      </w:pPr>
      <w:r>
        <w:t xml:space="preserve">coletivo representa importante mecanismo de promoção dos direitos humanos, fortalecimento da cidadania feminina e transformação dos padrões culturais que historicamente contribuem para a perpetuação da violência de gênero. Ademais, a </w:t>
      </w:r>
      <w:r>
        <w:lastRenderedPageBreak/>
        <w:t>proposição revela-se compatível com os princípios que orientam o Sistema Único de Saúde, especialmente no que se refere à</w:t>
      </w:r>
    </w:p>
    <w:p w14:paraId="1BFA0ACB" w14:textId="77777777" w:rsidR="00404B18" w:rsidRDefault="00404B18" w:rsidP="00404B18">
      <w:pPr>
        <w:tabs>
          <w:tab w:val="left" w:pos="2918"/>
        </w:tabs>
      </w:pPr>
      <w:r>
        <w:t>promoção da saúde, à prevenção de agravos e à atuação intersetorial na proteção de populações em situação de vulnerabilidade. Ao estimular a identificação precoce de situações de violência e assegurar o encaminhamento adequado das vítimas aos serviços</w:t>
      </w:r>
    </w:p>
    <w:p w14:paraId="627CC531" w14:textId="77777777" w:rsidR="00404B18" w:rsidRDefault="00404B18" w:rsidP="00404B18">
      <w:pPr>
        <w:tabs>
          <w:tab w:val="left" w:pos="2918"/>
        </w:tabs>
      </w:pPr>
      <w:r>
        <w:t>competentes, o projeto fortalece a rede de proteção social e contribui para reduzir os impactos físicos, psicológicos e sociais decorrentes da violência contra as mulheres.</w:t>
      </w:r>
    </w:p>
    <w:p w14:paraId="67A5D286" w14:textId="77777777" w:rsidR="00404B18" w:rsidRDefault="00404B18" w:rsidP="00404B18">
      <w:pPr>
        <w:tabs>
          <w:tab w:val="left" w:pos="2918"/>
        </w:tabs>
      </w:pPr>
      <w:r>
        <w:t>Importa destacar, ainda, que a capacitação dos profissionais responsáveis pelo atendimento ao público não apenas amplia a capacidade de resposta dos estabelecimentos diante de situações de risco, como também promove mudança de cultura institucional, favorecendo ambientes mais acolhedores, respeitosos e comprometidos com a proteção dos direitos das mulheres. Trata-se, portanto, de medida que</w:t>
      </w:r>
    </w:p>
    <w:p w14:paraId="5F8A43D5" w14:textId="77777777" w:rsidR="00404B18" w:rsidRDefault="00404B18" w:rsidP="00404B18">
      <w:pPr>
        <w:tabs>
          <w:tab w:val="left" w:pos="2918"/>
        </w:tabs>
      </w:pPr>
      <w:r>
        <w:t>transcende a dimensão meramente administrativa, assumindo relevante função educativa e preventiva. Em face do exposto, a Comissão de Saúde, Promoção Social, Trabalho e Mulher, no âmbito de sua competência, entende que o presente</w:t>
      </w:r>
    </w:p>
    <w:p w14:paraId="56592476" w14:textId="77777777" w:rsidR="00404B18" w:rsidRDefault="00404B18" w:rsidP="00404B18">
      <w:pPr>
        <w:tabs>
          <w:tab w:val="left" w:pos="2918"/>
        </w:tabs>
      </w:pPr>
      <w:r>
        <w:t>projeto é meritório e merece prosperar, eis que promove medida de relevante interesse público voltada à prevenção da violência de gênero, ao fortalecimento da proteção das mulheres em espaços de convivência coletiva e ao aperfeiçoamento dos mecanismos</w:t>
      </w:r>
    </w:p>
    <w:p w14:paraId="34D893CA" w14:textId="77777777" w:rsidR="00404B18" w:rsidRDefault="00404B18" w:rsidP="00404B18">
      <w:pPr>
        <w:tabs>
          <w:tab w:val="left" w:pos="2918"/>
        </w:tabs>
      </w:pPr>
      <w:r>
        <w:t>institucionais de acolhimento e encaminhamento de vítimas. Ao incentivar a capacitação dos profissionais responsáveis pelo atendimento em estabelecimentos de lazer e entretenimento, a proposição contribui para a redução da vulnerabilidade das mulheres, para a promoção da saúde, da segurança e da dignidade da pessoa humana, bem como para a efetivação dos direitos fundamentais assegurados pela Constituição Federal, pela legislação nacional e pelos tratados internacionais de proteção às mulheres dos quais o Brasil é signatário. Favorável, portanto, o parecer. Sala da Comissão de Saúde, Promoção Social, Trabalho e Mulher, em 19/08/2026. Ver. Ely Teruel (MDB) - Presidente Ver. Dra. Sandra Tadeu (PL) - Vice-presidente Ver. Adilson Amadeu (UNIÃO)</w:t>
      </w:r>
    </w:p>
    <w:p w14:paraId="73AA8CD0" w14:textId="77777777" w:rsidR="00404B18" w:rsidRDefault="00404B18" w:rsidP="00404B18">
      <w:pPr>
        <w:tabs>
          <w:tab w:val="left" w:pos="2918"/>
        </w:tabs>
      </w:pPr>
      <w:r>
        <w:t>Ver. Amanda Paschoal (PSOL) - Relatoria Ver. Roberto Tripoli (PV)</w:t>
      </w:r>
    </w:p>
    <w:p w14:paraId="70E8FEFF" w14:textId="77777777" w:rsidR="00404B18" w:rsidRDefault="00404B18" w:rsidP="00404B18">
      <w:pPr>
        <w:tabs>
          <w:tab w:val="left" w:pos="2918"/>
        </w:tabs>
      </w:pPr>
      <w:r>
        <w:t>Ver. Simone Ganem (PODE)</w:t>
      </w:r>
    </w:p>
    <w:p w14:paraId="358B6B28" w14:textId="77777777" w:rsidR="00404B18" w:rsidRDefault="00404B18" w:rsidP="00404B18">
      <w:pPr>
        <w:tabs>
          <w:tab w:val="left" w:pos="2918"/>
        </w:tabs>
      </w:pPr>
      <w:r>
        <w:t xml:space="preserve">PARECER N° 1153/2026 DA COMISSÃO DE SAÚDE, PROMOÇÃO SOCIAL, TRABALHO E MULHER SOBRE O PROJETO DE LEI N° 130/2023. O presente projeto </w:t>
      </w:r>
      <w:r>
        <w:lastRenderedPageBreak/>
        <w:t>de lei, de autoria do nobre Vereador Jair Tatto e da nobre Vereadora Keit Lima, autoriza o Executivo a reservar áreas para implementação de sistemas produtivos de agricultura urbana ou periurbana no âmbito de programas habitacionais públicos</w:t>
      </w:r>
    </w:p>
    <w:p w14:paraId="409AB460" w14:textId="77777777" w:rsidR="00404B18" w:rsidRDefault="00404B18" w:rsidP="00404B18">
      <w:pPr>
        <w:tabs>
          <w:tab w:val="left" w:pos="2918"/>
        </w:tabs>
      </w:pPr>
      <w:r>
        <w:t>realizados pela Secretaria Municipal da Habitação. A propositura, de caráter autorizativo no que diz respeito a sua realização pelo Poder Executivo, versa sobre a reserva de áreas para a</w:t>
      </w:r>
    </w:p>
    <w:p w14:paraId="0A068E5C" w14:textId="77777777" w:rsidR="00404B18" w:rsidRDefault="00404B18" w:rsidP="00404B18">
      <w:pPr>
        <w:tabs>
          <w:tab w:val="left" w:pos="2918"/>
        </w:tabs>
      </w:pPr>
      <w:r>
        <w:t>implementação de sistemas produtivos de agricultura urbana ou periurbana no âmbito do de programas habitacionais públicos realizados pela Secretaria Municipal de Habitação. A Comissão de Constituição, Justiça e Legislação Participativa emitiu parecer de legalidade. A Comissão de Política Urbana, Metropolitana e Meio Ambiente manifestou parecer favorável. A Comissão de Trânsito, Transporte, Turismo, Lazer e Gastronomia exarou manifestou parecer favorável. Conforme se verifica na justificativa, “a agricultura urbana e periurbana, por meio de hortas comunitárias, por exemplo, tem se mostrado</w:t>
      </w:r>
    </w:p>
    <w:p w14:paraId="38901DD7" w14:textId="77777777" w:rsidR="00404B18" w:rsidRDefault="00404B18" w:rsidP="00404B18">
      <w:pPr>
        <w:tabs>
          <w:tab w:val="left" w:pos="2918"/>
        </w:tabs>
      </w:pPr>
      <w:r>
        <w:t>como instrumento importantíssimo para o aprimoramento das cidades e da qualidade de vida das pessoas. Mais especificamente, ela</w:t>
      </w:r>
    </w:p>
    <w:p w14:paraId="0BD58059" w14:textId="77777777" w:rsidR="00404B18" w:rsidRDefault="00404B18" w:rsidP="00404B18">
      <w:pPr>
        <w:tabs>
          <w:tab w:val="left" w:pos="2918"/>
        </w:tabs>
      </w:pPr>
      <w:r>
        <w:t>tem sido “apontada como uma das práticas mais recomendadas entre os diversos programas que visam a construção de cidades</w:t>
      </w:r>
    </w:p>
    <w:p w14:paraId="18A99580" w14:textId="77777777" w:rsidR="00404B18" w:rsidRDefault="00404B18" w:rsidP="00404B18">
      <w:pPr>
        <w:tabs>
          <w:tab w:val="left" w:pos="2918"/>
        </w:tabs>
      </w:pPr>
      <w:r>
        <w:t>sustentáveis e de espaços urbanos mais saudáveis e inclusivos”, haja vista que pode trazer diversos benefícios, entres os quais se destacam:</w:t>
      </w:r>
    </w:p>
    <w:p w14:paraId="3CD907B2" w14:textId="77777777" w:rsidR="00404B18" w:rsidRDefault="00404B18" w:rsidP="00404B18">
      <w:pPr>
        <w:tabs>
          <w:tab w:val="left" w:pos="2918"/>
        </w:tabs>
      </w:pPr>
      <w:r>
        <w:t>“(...) a) suporte à segurança alimentar e nutricional, na medida em facilita o acesso aos alimentos;</w:t>
      </w:r>
    </w:p>
    <w:p w14:paraId="6D091A58" w14:textId="77777777" w:rsidR="00404B18" w:rsidRDefault="00404B18" w:rsidP="00404B18">
      <w:pPr>
        <w:tabs>
          <w:tab w:val="left" w:pos="2918"/>
        </w:tabs>
      </w:pPr>
      <w:r>
        <w:t>b) benefícios para saúde da população (estudo aponta que adultos incluídos na dinâmica de hortas comunitárias consomem quase 50% a mais de frutas e de vegetais por dia do que aqueles que não participam dessas inciativas;</w:t>
      </w:r>
    </w:p>
    <w:p w14:paraId="11448447" w14:textId="77777777" w:rsidR="00404B18" w:rsidRDefault="00404B18" w:rsidP="00404B18">
      <w:pPr>
        <w:tabs>
          <w:tab w:val="left" w:pos="2918"/>
        </w:tabs>
      </w:pPr>
      <w:r>
        <w:t>c) criação de trabalho e elevação da renda, por meio da possibilidade de venda dos produtos produzidos e da prestação de serviços para manutenção da horta;</w:t>
      </w:r>
    </w:p>
    <w:p w14:paraId="0C935743" w14:textId="77777777" w:rsidR="00404B18" w:rsidRDefault="00404B18" w:rsidP="00404B18">
      <w:pPr>
        <w:tabs>
          <w:tab w:val="left" w:pos="2918"/>
        </w:tabs>
      </w:pPr>
      <w:r>
        <w:t>d) estreitamento da convivência em comunidade e de ações colaborativas, com consequente elevação da coesão social e do ativismo político; e) favorecimento de inclusão social e redução de desigualdades de gênero (estudo aponta que 63% dos agricultores urbanos são mulheres, o que pode ser explicado pela facilidade em conciliar o trabalho e a criação dos filhos dada a proximidade entre a horta e as</w:t>
      </w:r>
    </w:p>
    <w:p w14:paraId="0B87530D" w14:textId="77777777" w:rsidR="00404B18" w:rsidRDefault="00404B18" w:rsidP="00404B18">
      <w:pPr>
        <w:tabs>
          <w:tab w:val="left" w:pos="2918"/>
        </w:tabs>
      </w:pPr>
      <w:r>
        <w:t>residências das famílias;</w:t>
      </w:r>
    </w:p>
    <w:p w14:paraId="6189C58E" w14:textId="77777777" w:rsidR="00404B18" w:rsidRDefault="00404B18" w:rsidP="00404B18">
      <w:pPr>
        <w:tabs>
          <w:tab w:val="left" w:pos="2918"/>
        </w:tabs>
      </w:pPr>
      <w:r>
        <w:lastRenderedPageBreak/>
        <w:t>f) suporte a ações de educação ambiental, inclusive com apoio de instituições escolares;</w:t>
      </w:r>
    </w:p>
    <w:p w14:paraId="7D6CBC63" w14:textId="77777777" w:rsidR="00404B18" w:rsidRDefault="00404B18" w:rsidP="00404B18">
      <w:pPr>
        <w:tabs>
          <w:tab w:val="left" w:pos="2918"/>
        </w:tabs>
      </w:pPr>
      <w:r>
        <w:t>g) captação de gás carbônico com consequente contribuição para a desaceleração das mudanças climáticas;</w:t>
      </w:r>
    </w:p>
    <w:p w14:paraId="4F842012" w14:textId="77777777" w:rsidR="00404B18" w:rsidRDefault="00404B18" w:rsidP="00404B18">
      <w:pPr>
        <w:tabs>
          <w:tab w:val="left" w:pos="2918"/>
        </w:tabs>
      </w:pPr>
      <w:r>
        <w:t>h) melhoria da paisagem e do microclima urbanos e do bem-estar da população;</w:t>
      </w:r>
    </w:p>
    <w:p w14:paraId="1ACF20FE" w14:textId="77777777" w:rsidR="00404B18" w:rsidRDefault="00404B18" w:rsidP="00404B18">
      <w:pPr>
        <w:tabs>
          <w:tab w:val="left" w:pos="2918"/>
        </w:tabs>
      </w:pPr>
      <w:r>
        <w:t>i) benefícios ecológicos associados à redução da geração de lixo, elevação da biodiversidade no meio urbano, melhoria da qualidade do ar e redução dos impactos ambientais associados a transporte e armazenagem de alimentos; e</w:t>
      </w:r>
    </w:p>
    <w:p w14:paraId="17316A92" w14:textId="77777777" w:rsidR="00404B18" w:rsidRDefault="00404B18" w:rsidP="00404B18">
      <w:pPr>
        <w:tabs>
          <w:tab w:val="left" w:pos="2918"/>
        </w:tabs>
      </w:pPr>
      <w:r>
        <w:t>j) captação de águas das chuvas, com redução dos efeitos de enchentes e enxurradas nas cidades. (...)</w:t>
      </w:r>
      <w:proofErr w:type="gramStart"/>
      <w:r>
        <w:t>” Muito</w:t>
      </w:r>
      <w:proofErr w:type="gramEnd"/>
      <w:r>
        <w:t xml:space="preserve"> embora o arcabouço legal do município conte com a LEI Nº 13.727 DE 12 DE JANEIRO DE 2004, que criou o PROAURP (Programa de Agricultura Urbana e Periurbana), regulamentada pelo DECRETO Nº 51.801 DE 21 DE SETEMBRO DE 2010, a estrita relação com as políticas de habitação não se verifica diretamente. Diante do exposto, a Comissão de Saúde, Promoção Social, Trabalho e Mulher, no âmbito de sua competência, entende que a propositura é meritória e deve prosperar, pelas razões que seguem. Depreende-se que o objeto de fundo é, na medida do possível, promover a aproximação das políticas de habitação e a viabilização de</w:t>
      </w:r>
    </w:p>
    <w:p w14:paraId="5DD222A7" w14:textId="77777777" w:rsidR="00404B18" w:rsidRDefault="00404B18" w:rsidP="00404B18">
      <w:pPr>
        <w:tabs>
          <w:tab w:val="left" w:pos="2918"/>
        </w:tabs>
      </w:pPr>
      <w:r>
        <w:t xml:space="preserve">áreas destinadas a atividade de produção de alimentos, seja em escala que possibilite a comercialização e geração de renda, seja ainda para o consumo do resultado dessa produção hortifrutigranjeira por aqueles envolvidos diretamente no processo. Nesse sentido, se evidencia que </w:t>
      </w:r>
      <w:proofErr w:type="gramStart"/>
      <w:r>
        <w:t>a ideia central das hortas urbanas podem</w:t>
      </w:r>
      <w:proofErr w:type="gramEnd"/>
      <w:r>
        <w:t xml:space="preserve"> comparecer como parte de estratégias para a reunião de pessoas do entorno da área utilizada e, partir daí, a possibilidade de trocas e buscas de soluções para questões levantadas como alimentação, alimentação saudável, segurança alimentar, produção hortifrutigranjeiros sem utilização de pesticidas e agrotóxicos, uso da</w:t>
      </w:r>
    </w:p>
    <w:p w14:paraId="618842AC" w14:textId="77777777" w:rsidR="00404B18" w:rsidRDefault="00404B18" w:rsidP="00404B18">
      <w:pPr>
        <w:tabs>
          <w:tab w:val="left" w:pos="2918"/>
        </w:tabs>
      </w:pPr>
      <w:r>
        <w:t>terra, sustentabilidade, proteção de áreas adjacentes e contenção do espraiamento urbano irregular entre outros. Assim, está proposto a aproximação das políticas públicas mencionadas, a saber moradia e segurança alimentar, bem como estratégias de geração de renda, mitigação de ilhas de calor, permeabilidade do solo, aumento da biodiversidade, integração com políticas de saúde, educação, meio ambiente e habitação conforme o decreto regulamentador vigente.</w:t>
      </w:r>
    </w:p>
    <w:p w14:paraId="4372B0CD" w14:textId="77777777" w:rsidR="00404B18" w:rsidRDefault="00404B18" w:rsidP="00404B18">
      <w:pPr>
        <w:tabs>
          <w:tab w:val="left" w:pos="2918"/>
        </w:tabs>
      </w:pPr>
      <w:r>
        <w:t>Portanto, em consideração ao exposto, o parecer é favorável. Sala da Comissão de Saúde, Promoção Social, Trabalho e Mulher, em 19/08/2026. Ver. Ely Teruel (MDB) - Presidente Ver. Dra. Sandra Tadeu (PL) - Vice-presidente Ver. Adilson Amadeu (UNIÃO)</w:t>
      </w:r>
    </w:p>
    <w:p w14:paraId="21F58D07" w14:textId="77777777" w:rsidR="00404B18" w:rsidRDefault="00404B18" w:rsidP="00404B18">
      <w:pPr>
        <w:tabs>
          <w:tab w:val="left" w:pos="2918"/>
        </w:tabs>
      </w:pPr>
      <w:r>
        <w:lastRenderedPageBreak/>
        <w:t>Ver. Amanda Paschoal (PSOL) - Relatoria Ver. Roberto Tripoli (PV)</w:t>
      </w:r>
    </w:p>
    <w:p w14:paraId="6430163D" w14:textId="77777777" w:rsidR="00404B18" w:rsidRDefault="00404B18" w:rsidP="00404B18">
      <w:pPr>
        <w:tabs>
          <w:tab w:val="left" w:pos="2918"/>
        </w:tabs>
      </w:pPr>
      <w:r>
        <w:t>Ver. Simone Ganem (PODE)</w:t>
      </w:r>
    </w:p>
    <w:p w14:paraId="23D2140E" w14:textId="77777777" w:rsidR="00404B18" w:rsidRDefault="00404B18" w:rsidP="00404B18">
      <w:pPr>
        <w:tabs>
          <w:tab w:val="left" w:pos="2918"/>
        </w:tabs>
      </w:pPr>
      <w:r>
        <w:t>PARECER N° 1154/2026 DA COMISSÃO DE SAÚDE, PROMOÇÃO SOCIAL, TRABALHO E MULHER SOBRE O PROJETO DE LEI N° 316/2023. O presente projeto, de autoria do nobre Vereador Ricardo Teixeira, autoriza as repartições públicas, de economia mista e privadas a</w:t>
      </w:r>
    </w:p>
    <w:p w14:paraId="4D581428" w14:textId="77777777" w:rsidR="00404B18" w:rsidRDefault="00404B18" w:rsidP="00404B18">
      <w:pPr>
        <w:tabs>
          <w:tab w:val="left" w:pos="2918"/>
        </w:tabs>
      </w:pPr>
      <w:r>
        <w:t>concederem a licença-doença remunerada para mães solo na cidade de São Paulo, e dá outras providências. A Comissão de Constituição, Justiça e Legislação Participativa emitiu parecer de legalidade. A Comissão de Administração Pública exarou parecer favorável. A Comissão de Trânsito, Transporte e Atividade Econômica emitiu parecer favorável. Trata-se de Projeto de Lei que autoriza repartições públicas, entidades de economia mista e empresas privadas a conceder</w:t>
      </w:r>
    </w:p>
    <w:p w14:paraId="470A2FC7" w14:textId="77777777" w:rsidR="00404B18" w:rsidRDefault="00404B18" w:rsidP="00404B18">
      <w:pPr>
        <w:tabs>
          <w:tab w:val="left" w:pos="2918"/>
        </w:tabs>
      </w:pPr>
      <w:r>
        <w:t>licença</w:t>
      </w:r>
      <w:r>
        <w:rPr>
          <w:rFonts w:ascii="Cambria Math" w:hAnsi="Cambria Math" w:cs="Cambria Math"/>
        </w:rPr>
        <w:t>‑</w:t>
      </w:r>
      <w:r>
        <w:t>doen</w:t>
      </w:r>
      <w:r>
        <w:rPr>
          <w:rFonts w:ascii="Aptos" w:hAnsi="Aptos" w:cs="Aptos"/>
        </w:rPr>
        <w:t>ç</w:t>
      </w:r>
      <w:r>
        <w:t xml:space="preserve">a remunerada </w:t>
      </w:r>
      <w:r>
        <w:rPr>
          <w:rFonts w:ascii="Aptos" w:hAnsi="Aptos" w:cs="Aptos"/>
        </w:rPr>
        <w:t>à</w:t>
      </w:r>
      <w:r>
        <w:t>s m</w:t>
      </w:r>
      <w:r>
        <w:rPr>
          <w:rFonts w:ascii="Aptos" w:hAnsi="Aptos" w:cs="Aptos"/>
        </w:rPr>
        <w:t>ã</w:t>
      </w:r>
      <w:r>
        <w:t>es solo residentes no Munic</w:t>
      </w:r>
      <w:r>
        <w:rPr>
          <w:rFonts w:ascii="Aptos" w:hAnsi="Aptos" w:cs="Aptos"/>
        </w:rPr>
        <w:t>í</w:t>
      </w:r>
      <w:r>
        <w:t>pio de S</w:t>
      </w:r>
      <w:r>
        <w:rPr>
          <w:rFonts w:ascii="Aptos" w:hAnsi="Aptos" w:cs="Aptos"/>
        </w:rPr>
        <w:t>ã</w:t>
      </w:r>
      <w:r>
        <w:t>o Paulo, quando necess</w:t>
      </w:r>
      <w:r>
        <w:rPr>
          <w:rFonts w:ascii="Aptos" w:hAnsi="Aptos" w:cs="Aptos"/>
        </w:rPr>
        <w:t>á</w:t>
      </w:r>
      <w:r>
        <w:t>rio para o cuidado de filhos doentes. A medida aplica</w:t>
      </w:r>
      <w:r>
        <w:rPr>
          <w:rFonts w:ascii="Cambria Math" w:hAnsi="Cambria Math" w:cs="Cambria Math"/>
        </w:rPr>
        <w:t>‑</w:t>
      </w:r>
      <w:r>
        <w:t xml:space="preserve">se </w:t>
      </w:r>
      <w:r>
        <w:rPr>
          <w:rFonts w:ascii="Aptos" w:hAnsi="Aptos" w:cs="Aptos"/>
        </w:rPr>
        <w:t>à</w:t>
      </w:r>
      <w:r>
        <w:t>s m</w:t>
      </w:r>
      <w:r>
        <w:rPr>
          <w:rFonts w:ascii="Aptos" w:hAnsi="Aptos" w:cs="Aptos"/>
        </w:rPr>
        <w:t>ã</w:t>
      </w:r>
      <w:r>
        <w:t>es solo respons</w:t>
      </w:r>
      <w:r>
        <w:rPr>
          <w:rFonts w:ascii="Aptos" w:hAnsi="Aptos" w:cs="Aptos"/>
        </w:rPr>
        <w:t>á</w:t>
      </w:r>
      <w:r>
        <w:t>veis por menores de 16 anos que n</w:t>
      </w:r>
      <w:r>
        <w:rPr>
          <w:rFonts w:ascii="Aptos" w:hAnsi="Aptos" w:cs="Aptos"/>
        </w:rPr>
        <w:t>ã</w:t>
      </w:r>
      <w:r>
        <w:t>o disponham de rede de apoio pr</w:t>
      </w:r>
      <w:r>
        <w:rPr>
          <w:rFonts w:ascii="Aptos" w:hAnsi="Aptos" w:cs="Aptos"/>
        </w:rPr>
        <w:t>ó</w:t>
      </w:r>
      <w:r>
        <w:t>xima, com dura</w:t>
      </w:r>
      <w:r>
        <w:rPr>
          <w:rFonts w:ascii="Aptos" w:hAnsi="Aptos" w:cs="Aptos"/>
        </w:rPr>
        <w:t>çã</w:t>
      </w:r>
      <w:r>
        <w:t>o da</w:t>
      </w:r>
    </w:p>
    <w:p w14:paraId="6CD7B8B0" w14:textId="77777777" w:rsidR="00404B18" w:rsidRDefault="00404B18" w:rsidP="00404B18">
      <w:pPr>
        <w:tabs>
          <w:tab w:val="left" w:pos="2918"/>
        </w:tabs>
      </w:pPr>
      <w:r>
        <w:t>licença condicionada à prescrição médica, sem prazo mínimo ou máximo pré</w:t>
      </w:r>
      <w:r>
        <w:rPr>
          <w:rFonts w:ascii="Cambria Math" w:hAnsi="Cambria Math" w:cs="Cambria Math"/>
        </w:rPr>
        <w:t>‑</w:t>
      </w:r>
      <w:r>
        <w:t>fixado. O afastamento dever</w:t>
      </w:r>
      <w:r>
        <w:rPr>
          <w:rFonts w:ascii="Aptos" w:hAnsi="Aptos" w:cs="Aptos"/>
        </w:rPr>
        <w:t>á</w:t>
      </w:r>
      <w:r>
        <w:t xml:space="preserve"> ser comprovado por atestado m</w:t>
      </w:r>
      <w:r>
        <w:rPr>
          <w:rFonts w:ascii="Aptos" w:hAnsi="Aptos" w:cs="Aptos"/>
        </w:rPr>
        <w:t>é</w:t>
      </w:r>
      <w:r>
        <w:t>dico, devidamente assinado e carimbado, com data, e validado tamb</w:t>
      </w:r>
      <w:r>
        <w:rPr>
          <w:rFonts w:ascii="Aptos" w:hAnsi="Aptos" w:cs="Aptos"/>
        </w:rPr>
        <w:t>é</w:t>
      </w:r>
      <w:r>
        <w:t>m por assistente social da unidade de sa</w:t>
      </w:r>
      <w:r>
        <w:rPr>
          <w:rFonts w:ascii="Aptos" w:hAnsi="Aptos" w:cs="Aptos"/>
        </w:rPr>
        <w:t>ú</w:t>
      </w:r>
      <w:r>
        <w:t>de. As despesas decorrentes da aplica</w:t>
      </w:r>
      <w:r>
        <w:rPr>
          <w:rFonts w:ascii="Aptos" w:hAnsi="Aptos" w:cs="Aptos"/>
        </w:rPr>
        <w:t>çã</w:t>
      </w:r>
      <w:r>
        <w:t>o da norma correr</w:t>
      </w:r>
      <w:r>
        <w:rPr>
          <w:rFonts w:ascii="Aptos" w:hAnsi="Aptos" w:cs="Aptos"/>
        </w:rPr>
        <w:t>ã</w:t>
      </w:r>
      <w:r>
        <w:t xml:space="preserve">o </w:t>
      </w:r>
      <w:r>
        <w:rPr>
          <w:rFonts w:ascii="Aptos" w:hAnsi="Aptos" w:cs="Aptos"/>
        </w:rPr>
        <w:t>à</w:t>
      </w:r>
      <w:r>
        <w:t xml:space="preserve"> conta das dota</w:t>
      </w:r>
      <w:r>
        <w:rPr>
          <w:rFonts w:ascii="Aptos" w:hAnsi="Aptos" w:cs="Aptos"/>
        </w:rPr>
        <w:t>çõ</w:t>
      </w:r>
      <w:r>
        <w:t>es or</w:t>
      </w:r>
      <w:r>
        <w:rPr>
          <w:rFonts w:ascii="Aptos" w:hAnsi="Aptos" w:cs="Aptos"/>
        </w:rPr>
        <w:t>ç</w:t>
      </w:r>
      <w:r>
        <w:t>ament</w:t>
      </w:r>
      <w:r>
        <w:rPr>
          <w:rFonts w:ascii="Aptos" w:hAnsi="Aptos" w:cs="Aptos"/>
        </w:rPr>
        <w:t>á</w:t>
      </w:r>
      <w:r>
        <w:t>rias pr</w:t>
      </w:r>
      <w:r>
        <w:rPr>
          <w:rFonts w:ascii="Aptos" w:hAnsi="Aptos" w:cs="Aptos"/>
        </w:rPr>
        <w:t>ó</w:t>
      </w:r>
      <w:r>
        <w:t>prias, com possibilidade de suplementa</w:t>
      </w:r>
      <w:r>
        <w:rPr>
          <w:rFonts w:ascii="Aptos" w:hAnsi="Aptos" w:cs="Aptos"/>
        </w:rPr>
        <w:t>çã</w:t>
      </w:r>
      <w:r>
        <w:t>o, se necess</w:t>
      </w:r>
      <w:r>
        <w:rPr>
          <w:rFonts w:ascii="Aptos" w:hAnsi="Aptos" w:cs="Aptos"/>
        </w:rPr>
        <w:t>á</w:t>
      </w:r>
      <w:r>
        <w:t>rio. A not</w:t>
      </w:r>
      <w:r>
        <w:rPr>
          <w:rFonts w:ascii="Aptos" w:hAnsi="Aptos" w:cs="Aptos"/>
        </w:rPr>
        <w:t>í</w:t>
      </w:r>
      <w:r>
        <w:t>cia da Ag</w:t>
      </w:r>
      <w:r>
        <w:rPr>
          <w:rFonts w:ascii="Aptos" w:hAnsi="Aptos" w:cs="Aptos"/>
        </w:rPr>
        <w:t>ê</w:t>
      </w:r>
      <w:r>
        <w:t>ncia Brasil,</w:t>
      </w:r>
      <w:r>
        <w:rPr>
          <w:rFonts w:ascii="Aptos" w:hAnsi="Aptos" w:cs="Aptos"/>
        </w:rPr>
        <w:t>”</w:t>
      </w:r>
      <w:r>
        <w:t xml:space="preserve"> No Brasil, 11 milh</w:t>
      </w:r>
      <w:r>
        <w:rPr>
          <w:rFonts w:ascii="Aptos" w:hAnsi="Aptos" w:cs="Aptos"/>
        </w:rPr>
        <w:t>õ</w:t>
      </w:r>
      <w:r>
        <w:t>es de mulheres criam sozinhas os filhos</w:t>
      </w:r>
      <w:r>
        <w:rPr>
          <w:rFonts w:ascii="Aptos" w:hAnsi="Aptos" w:cs="Aptos"/>
        </w:rPr>
        <w:t>”</w:t>
      </w:r>
      <w:r>
        <w:t>, discute acerca dos dados do Instituto Brasileiro de Economia da Fundação Getúlio Vargas, referentes ao ano de 2022, que indicam que aproximadamente 11 milhões de mulheres no</w:t>
      </w:r>
    </w:p>
    <w:p w14:paraId="2AD51826" w14:textId="77777777" w:rsidR="00404B18" w:rsidRDefault="00404B18" w:rsidP="00404B18">
      <w:pPr>
        <w:tabs>
          <w:tab w:val="left" w:pos="2918"/>
        </w:tabs>
      </w:pPr>
      <w:r>
        <w:t>Brasil exercem a maternidade de forma solo, assumindo integral responsabilidade pelo cuidado, sustento e formação de seus filhos. Esse</w:t>
      </w:r>
    </w:p>
    <w:p w14:paraId="4C0C25F9" w14:textId="77777777" w:rsidR="00404B18" w:rsidRDefault="00404B18" w:rsidP="00404B18">
      <w:pPr>
        <w:tabs>
          <w:tab w:val="left" w:pos="2918"/>
        </w:tabs>
      </w:pPr>
      <w:r>
        <w:t>cenário evidencia uma realidade social marcada por desigualdades estruturais e pela ausência recorrente da figura paterna, fenômeno que se manifesta de maneira ampla e persistente em diversas regiões do país. Em razão da ausência paterna e das dificuldades enfrentadas para a efetivação de direitos básicos, muitas mulheres assumem, de forma exclusiva, as responsabilidades pelo cuidado e pela subsistência de suas famílias, recorrendo, em diversos casos, a redes de apoio</w:t>
      </w:r>
    </w:p>
    <w:p w14:paraId="091995D4" w14:textId="77777777" w:rsidR="00404B18" w:rsidRDefault="00404B18" w:rsidP="00404B18">
      <w:pPr>
        <w:tabs>
          <w:tab w:val="left" w:pos="2918"/>
        </w:tabs>
      </w:pPr>
      <w:r>
        <w:t xml:space="preserve">constituídas principalmente por outras mães que vivenciam condições semelhantes. Segundo o último Censo Demográfico (2022), divulgado pelo </w:t>
      </w:r>
      <w:r>
        <w:lastRenderedPageBreak/>
        <w:t>Instituto Brasileiro de Geografia e Estatística (IBGE), o percentual de mulheres responsáveis por unidades domiciliares teve aumento expressivo entre 2010 e 2022, subindo de 38,7% para 49,1%, sendo 35,6 milhões de mulheres nessa situação e 36,9 milhões de homens. O percentual de mulheres nessa condição supera os 50% em 10 estados: Pernambuco (53,9%), Sergipe (53,1%), Maranhão (53%), Amapá (52,9%), Ceará (52,6%), Rio de Janeiro (52,3%), Alagoas e Paraíba (51,7%), Bahia (51,0%) e Piauí (50,4%). Muitas dessas mulheres são mães solo. O censo revelou ainda que, no mesmo período, houve crescimento do número de famílias monoparentais, onde</w:t>
      </w:r>
    </w:p>
    <w:p w14:paraId="3595ADB9" w14:textId="77777777" w:rsidR="00404B18" w:rsidRDefault="00404B18" w:rsidP="00404B18">
      <w:pPr>
        <w:tabs>
          <w:tab w:val="left" w:pos="2918"/>
        </w:tabs>
      </w:pPr>
      <w:r>
        <w:t>o responsável vive sozinho com filhos ou enteados, que passou de 16,3% para 16,5%. Quase um em cada seis lares brasileiros é chefiado por uma pessoa que vive sozinha com filhos. Sobre os aspectos de desenvolvimento emocional, a privação de afeto, cuidado e convivência parental configura o chamado abandono afetivo, caracterizado não apenas pela ausência material, mas sobretudo pela negligência emocional no processo de desenvolvimento</w:t>
      </w:r>
    </w:p>
    <w:p w14:paraId="4A366587" w14:textId="77777777" w:rsidR="00404B18" w:rsidRDefault="00404B18" w:rsidP="00404B18">
      <w:pPr>
        <w:tabs>
          <w:tab w:val="left" w:pos="2918"/>
        </w:tabs>
      </w:pPr>
      <w:r>
        <w:t>infantil. Tal condição compromete a formação de vínculos seguros, essenciais à construção da identidade, da autoestima e da saúde</w:t>
      </w:r>
    </w:p>
    <w:p w14:paraId="23E1C549" w14:textId="77777777" w:rsidR="00404B18" w:rsidRDefault="00404B18" w:rsidP="00404B18">
      <w:pPr>
        <w:tabs>
          <w:tab w:val="left" w:pos="2918"/>
        </w:tabs>
      </w:pPr>
      <w:r>
        <w:t>emocional de crianças e adolescentes. Histórias pessoais, como a de Simone Mendes Silva, revelam a repetição intergeracional desse</w:t>
      </w:r>
    </w:p>
    <w:p w14:paraId="275A41CF" w14:textId="77777777" w:rsidR="00404B18" w:rsidRDefault="00404B18" w:rsidP="00404B18">
      <w:pPr>
        <w:tabs>
          <w:tab w:val="left" w:pos="2918"/>
        </w:tabs>
      </w:pPr>
      <w:r>
        <w:t>abandono, no qual mulheres criadas sem referência paterna acabam, posteriormente, assumindo sozinhas a criação de seus próprios</w:t>
      </w:r>
    </w:p>
    <w:p w14:paraId="4C9B7632" w14:textId="77777777" w:rsidR="00404B18" w:rsidRDefault="00404B18" w:rsidP="00404B18">
      <w:pPr>
        <w:tabs>
          <w:tab w:val="left" w:pos="2918"/>
        </w:tabs>
      </w:pPr>
      <w:r>
        <w:t>filhos, perpetuando um ciclo de sobrecarga física, emocional e econômica.</w:t>
      </w:r>
    </w:p>
    <w:p w14:paraId="03122765" w14:textId="77777777" w:rsidR="00404B18" w:rsidRDefault="00404B18" w:rsidP="00404B18">
      <w:pPr>
        <w:tabs>
          <w:tab w:val="left" w:pos="2918"/>
        </w:tabs>
      </w:pPr>
      <w:r>
        <w:t>Levantamento da Associação Nacional dos Registradores de Pessoas Naturais (ARPEN) demonstra a gravidade do problema: em 2022, mais de 164 mil crianças foram registradas sem o reconhecimento paterno ainda durante a gestação, número que ultrapassou 106 mil apenas até julho de 2023. Esses dados revelam não apenas a ausência do genitor no momento do nascimento, mas também a negação antecipada de responsabilidades legais, afetivas e sociais. A literatura especializada e a prática clínica apontam que a ausência prolongada de um dos genitores, especialmente durante a infância e a adolescência, pode acarretar impactos significativos à saúde mental. Conforme esclarece a psicóloga Flávia Lacerda, essa lacuna pode gerar padrões de apego inseguro, associados a maior incidência de ansiedade, dificuldades em estabelecer relações afetivas</w:t>
      </w:r>
    </w:p>
    <w:p w14:paraId="6A7E0F40" w14:textId="77777777" w:rsidR="00404B18" w:rsidRDefault="00404B18" w:rsidP="00404B18">
      <w:pPr>
        <w:tabs>
          <w:tab w:val="left" w:pos="2918"/>
        </w:tabs>
      </w:pPr>
      <w:r>
        <w:t>saudáveis, baixa tolerância à frustração e comportamentos agressivos. Tais consequências podem se estender por toda a vida adulta,</w:t>
      </w:r>
    </w:p>
    <w:p w14:paraId="011C07FC" w14:textId="77777777" w:rsidR="00404B18" w:rsidRDefault="00404B18" w:rsidP="00404B18">
      <w:pPr>
        <w:tabs>
          <w:tab w:val="left" w:pos="2918"/>
        </w:tabs>
      </w:pPr>
      <w:r>
        <w:t>interferindo na formação de vínculos familiares, sociais e profissionais.</w:t>
      </w:r>
    </w:p>
    <w:p w14:paraId="2B6B1116" w14:textId="77777777" w:rsidR="00404B18" w:rsidRDefault="00404B18" w:rsidP="00404B18">
      <w:pPr>
        <w:tabs>
          <w:tab w:val="left" w:pos="2918"/>
        </w:tabs>
      </w:pPr>
      <w:r>
        <w:lastRenderedPageBreak/>
        <w:t>Importa destacar que o cuidado parental não se restringe ao provimento financeiro. A garantia de direitos fundamentais da criança e do adolescente envolve presença ativa, convivência, orientação, escuta e construção cotidiana de laços afetivos. A negligência emocional, portanto, constitui violação aos direitos assegurados pelo Estatuto da Criança e do Adolescente, ao comprometer o pleno desenvolvimento físico, psicológico e social. Diante desse cenário, o Poder Judiciário tem adotado medidas mais rigorosas para coibir práticas de abandono afetivo e assegurar,</w:t>
      </w:r>
    </w:p>
    <w:p w14:paraId="457B37DC" w14:textId="77777777" w:rsidR="00404B18" w:rsidRDefault="00404B18" w:rsidP="00404B18">
      <w:pPr>
        <w:tabs>
          <w:tab w:val="left" w:pos="2918"/>
        </w:tabs>
      </w:pPr>
      <w:r>
        <w:t>sempre que possível, a preservação dos vínculos parentais. Essas iniciativas buscam reconhecer a centralidade do afeto como elemento</w:t>
      </w:r>
    </w:p>
    <w:p w14:paraId="231AC11D" w14:textId="77777777" w:rsidR="00404B18" w:rsidRDefault="00404B18" w:rsidP="00404B18">
      <w:pPr>
        <w:tabs>
          <w:tab w:val="left" w:pos="2918"/>
        </w:tabs>
      </w:pPr>
      <w:r>
        <w:t>indissociável da responsabilidade parental, reforçando que a proteção integral da criança exige não apenas garantias materiais, mas</w:t>
      </w:r>
    </w:p>
    <w:p w14:paraId="546F2A95" w14:textId="77777777" w:rsidR="00404B18" w:rsidRDefault="00404B18" w:rsidP="00404B18">
      <w:pPr>
        <w:tabs>
          <w:tab w:val="left" w:pos="2918"/>
        </w:tabs>
      </w:pPr>
      <w:r>
        <w:t>também compromisso emocional e presença ativa dos responsáveis. Os dados apresentados evidenciam a urgência de políticas públicas integradas, ações preventivas e mecanismos de responsabilização que enfrentem o abandono afetivo como problema social estruturante, promovendo o fortalecimento das famílias, a equidade de gênero e o desenvolvimento saudável das futuras gerações. A Comissão de Saúde, Promoção Social, Trabalho e Mulher, no âmbito de sua competência, entende que a propositura é meritória,</w:t>
      </w:r>
    </w:p>
    <w:p w14:paraId="47C1870C" w14:textId="77777777" w:rsidR="00404B18" w:rsidRDefault="00404B18" w:rsidP="00404B18">
      <w:pPr>
        <w:tabs>
          <w:tab w:val="left" w:pos="2918"/>
        </w:tabs>
      </w:pPr>
      <w:r>
        <w:t>relevante e deve prosperar, visa a criação de mecanismo que assegure às mulheres de maternidade solo condições de cuidar dos filhos doentes sem prejuízo financeiro, promovendo a proteção social, a equidade de gênero e o desenvolvimento saudável das crianças,</w:t>
      </w:r>
    </w:p>
    <w:p w14:paraId="6666A6EE" w14:textId="77777777" w:rsidR="00404B18" w:rsidRDefault="00404B18" w:rsidP="00404B18">
      <w:pPr>
        <w:tabs>
          <w:tab w:val="left" w:pos="2918"/>
        </w:tabs>
      </w:pPr>
      <w:r>
        <w:t>sendo, portanto, favorável o parecer. Sala da Comissão de Saúde, Promoção Social, Trabalho e Mulher, em 19/08/2026. Ver. Ely Teruel (MDB) - Presidente Ver. Dra. Sandra Tadeu (PL) - Vice-presidente - Relatoria Ver. Adilson Amadeu (UNIÃO)</w:t>
      </w:r>
    </w:p>
    <w:p w14:paraId="0B1EF4EC" w14:textId="77777777" w:rsidR="00404B18" w:rsidRDefault="00404B18" w:rsidP="00404B18">
      <w:pPr>
        <w:tabs>
          <w:tab w:val="left" w:pos="2918"/>
        </w:tabs>
      </w:pPr>
      <w:r>
        <w:t>Ver. Amanda Paschoal (PSOL)</w:t>
      </w:r>
    </w:p>
    <w:p w14:paraId="3DA6A9E5" w14:textId="77777777" w:rsidR="00404B18" w:rsidRDefault="00404B18" w:rsidP="00404B18">
      <w:pPr>
        <w:tabs>
          <w:tab w:val="left" w:pos="2918"/>
        </w:tabs>
      </w:pPr>
      <w:r>
        <w:t>Ver. Roberto Tripoli (PV)</w:t>
      </w:r>
    </w:p>
    <w:p w14:paraId="3DD09DD1" w14:textId="77777777" w:rsidR="00404B18" w:rsidRDefault="00404B18" w:rsidP="00404B18">
      <w:pPr>
        <w:tabs>
          <w:tab w:val="left" w:pos="2918"/>
        </w:tabs>
      </w:pPr>
      <w:r>
        <w:t>Ver. Simone Ganem (PODE)</w:t>
      </w:r>
    </w:p>
    <w:p w14:paraId="07433CC9" w14:textId="77777777" w:rsidR="00404B18" w:rsidRDefault="00404B18" w:rsidP="00404B18">
      <w:pPr>
        <w:tabs>
          <w:tab w:val="left" w:pos="2918"/>
        </w:tabs>
      </w:pPr>
      <w:r>
        <w:t>PARECER N° 1155/2026 DA COMISSÃO DE SAÚDE, PROMOÇÃO SOCIAL, TRABALHO E MULHER SOBRE O PROJETO DE LEI N° 503/2023. O presente projeto, de autoria das Nobres Vereadoras Janaína Lima e Janaina Paschoal, inclui o §3º na Lei nº 16.563, de 7 de novembro de 2016, que “Dispõe sobre diretrizes para a conscientização sobre a Síndrome Alcoólica Fetal e dá outras providências”, para estabelecer a obrigatoriedade de que toda a rede municipal atuante no pré-natal oriente os pacientes sobre a importância do zero</w:t>
      </w:r>
    </w:p>
    <w:p w14:paraId="397FA70A" w14:textId="77777777" w:rsidR="00404B18" w:rsidRDefault="00404B18" w:rsidP="00404B18">
      <w:pPr>
        <w:tabs>
          <w:tab w:val="left" w:pos="2918"/>
        </w:tabs>
      </w:pPr>
      <w:r>
        <w:lastRenderedPageBreak/>
        <w:t>consumo de álcool durante a gravidez a fim de prevenir a Síndrome Alcoólica Fetal (SAF). A Comissão de Constituição, Justiça e Legislação Participativa emitiu parecer de legalidade com apresentação de Substitutivo. A Comissão de Administração Pública exarou parecer favorável, nos termos do substitutivo da Comissão de Constituição, Justiça e</w:t>
      </w:r>
    </w:p>
    <w:p w14:paraId="7137F110" w14:textId="77777777" w:rsidR="00404B18" w:rsidRDefault="00404B18" w:rsidP="00404B18">
      <w:pPr>
        <w:tabs>
          <w:tab w:val="left" w:pos="2918"/>
        </w:tabs>
      </w:pPr>
      <w:r>
        <w:t>Legislação Participativa. A presente propositura inclui o § 3º à Lei nº 16.563, de 7 de novembro de 2016, com o objetivo de reforçar as ações de prevenção à</w:t>
      </w:r>
    </w:p>
    <w:p w14:paraId="0A27E921" w14:textId="77777777" w:rsidR="00404B18" w:rsidRDefault="00404B18" w:rsidP="00404B18">
      <w:pPr>
        <w:tabs>
          <w:tab w:val="left" w:pos="2918"/>
        </w:tabs>
      </w:pPr>
      <w:r>
        <w:t>Síndrome Alcoólica Fetal (SAF) no âmbito do município de São Paulo. A alteração legislativa visa estabelecer a obrigatoriedade de que</w:t>
      </w:r>
    </w:p>
    <w:p w14:paraId="38274346" w14:textId="77777777" w:rsidR="00404B18" w:rsidRDefault="00404B18" w:rsidP="00404B18">
      <w:pPr>
        <w:tabs>
          <w:tab w:val="left" w:pos="2918"/>
        </w:tabs>
      </w:pPr>
      <w:r>
        <w:t>toda a rede municipal de saúde atuante no acompanhamento pré-natal realize orientação sistemática e qualificada às gestantes acerca da necessidade do consumo zero de álcool durante a gravidez, como medida essencial de proteção à saúde do feto. De acordo com o artigo publicado na Biblioteca Virtual de Saúde,” Efeitos do álcool no feto e no recém-nascido” (Revista Femina), a Síndrome Alcoólica Fetal (SAF) e o Espectro de Desordens Fetais Alcoólicas (FASD) constituem-se importantes problemas de saúde pública. A SAF é caracterizada por déficit de crescimento, dismorfismos faciais típicos e comprometimento do sistema nervoso central,</w:t>
      </w:r>
    </w:p>
    <w:p w14:paraId="554C9551" w14:textId="77777777" w:rsidR="00404B18" w:rsidRDefault="00404B18" w:rsidP="00404B18">
      <w:pPr>
        <w:tabs>
          <w:tab w:val="left" w:pos="2918"/>
        </w:tabs>
      </w:pPr>
      <w:r>
        <w:t>sendo reconhecida como a principal causa prevenível de deficiência intelectual no mundo. Para cada caso de SAF completa, estima</w:t>
      </w:r>
      <w:r>
        <w:rPr>
          <w:rFonts w:ascii="Cambria Math" w:hAnsi="Cambria Math" w:cs="Cambria Math"/>
        </w:rPr>
        <w:t>‑</w:t>
      </w:r>
      <w:r>
        <w:t>se a</w:t>
      </w:r>
    </w:p>
    <w:p w14:paraId="760929CD" w14:textId="77777777" w:rsidR="00404B18" w:rsidRDefault="00404B18" w:rsidP="00404B18">
      <w:pPr>
        <w:tabs>
          <w:tab w:val="left" w:pos="2918"/>
        </w:tabs>
      </w:pPr>
      <w:r>
        <w:t xml:space="preserve">ocorrência de três a dez casos de FASD. O texto enfatiza que não existe nível seguro de consumo de álcool durante a gestação, uma vez que o álcool atravessa rapidamente a placenta e pode provocar efeitos permanentes ao feto em qualquer fase da gravidez. O grau de comprometimento depende do período gestacional, da quantidade ingerida e do padrão de consumo, sendo o </w:t>
      </w:r>
      <w:proofErr w:type="spellStart"/>
      <w:r>
        <w:t>binge</w:t>
      </w:r>
      <w:proofErr w:type="spellEnd"/>
      <w:r>
        <w:t xml:space="preserve"> </w:t>
      </w:r>
      <w:proofErr w:type="spellStart"/>
      <w:r>
        <w:t>drinking</w:t>
      </w:r>
      <w:proofErr w:type="spellEnd"/>
      <w:r>
        <w:t xml:space="preserve"> (Quatro ou mais bebidas para mulheres, ou cinco</w:t>
      </w:r>
    </w:p>
    <w:p w14:paraId="58959475" w14:textId="77777777" w:rsidR="00404B18" w:rsidRDefault="00404B18" w:rsidP="00404B18">
      <w:pPr>
        <w:tabs>
          <w:tab w:val="left" w:pos="2918"/>
        </w:tabs>
      </w:pPr>
      <w:r>
        <w:t>ou mais bebidas para homens durante uma ocasião) particularmente nocivo. Os principais mecanismos fisiopatológicos, como hipóxia fetal, alterações metabólicas, estresse oxidativo e prejuízos à neurogênese,</w:t>
      </w:r>
    </w:p>
    <w:p w14:paraId="7D6D376C" w14:textId="77777777" w:rsidR="00404B18" w:rsidRDefault="00404B18" w:rsidP="00404B18">
      <w:pPr>
        <w:tabs>
          <w:tab w:val="left" w:pos="2918"/>
        </w:tabs>
      </w:pPr>
      <w:r>
        <w:t>resultam em baixo peso ao nascer, microcefalia, alterações cognitivas, comportamentais e cardiovasculares. O diagnóstico baseia</w:t>
      </w:r>
      <w:r>
        <w:rPr>
          <w:rFonts w:ascii="Cambria Math" w:hAnsi="Cambria Math" w:cs="Cambria Math"/>
        </w:rPr>
        <w:t>‑</w:t>
      </w:r>
      <w:r>
        <w:t>se em</w:t>
      </w:r>
    </w:p>
    <w:p w14:paraId="61F43227" w14:textId="77777777" w:rsidR="00404B18" w:rsidRDefault="00404B18" w:rsidP="00404B18">
      <w:pPr>
        <w:tabs>
          <w:tab w:val="left" w:pos="2918"/>
        </w:tabs>
      </w:pPr>
      <w:r>
        <w:t>informações maternas, achados clínicos e instrumentos de rastreamento, como o questionário T</w:t>
      </w:r>
      <w:r>
        <w:rPr>
          <w:rFonts w:ascii="Cambria Math" w:hAnsi="Cambria Math" w:cs="Cambria Math"/>
        </w:rPr>
        <w:t>‑</w:t>
      </w:r>
      <w:r>
        <w:t>ACE, exigindo capacita</w:t>
      </w:r>
      <w:r>
        <w:rPr>
          <w:rFonts w:ascii="Aptos" w:hAnsi="Aptos" w:cs="Aptos"/>
        </w:rPr>
        <w:t>çã</w:t>
      </w:r>
      <w:r>
        <w:t>o das equipes de sa</w:t>
      </w:r>
      <w:r>
        <w:rPr>
          <w:rFonts w:ascii="Aptos" w:hAnsi="Aptos" w:cs="Aptos"/>
        </w:rPr>
        <w:t>ú</w:t>
      </w:r>
      <w:r>
        <w:t>de. N</w:t>
      </w:r>
      <w:r>
        <w:rPr>
          <w:rFonts w:ascii="Aptos" w:hAnsi="Aptos" w:cs="Aptos"/>
        </w:rPr>
        <w:t>ã</w:t>
      </w:r>
      <w:r>
        <w:t>o h</w:t>
      </w:r>
      <w:r>
        <w:rPr>
          <w:rFonts w:ascii="Aptos" w:hAnsi="Aptos" w:cs="Aptos"/>
        </w:rPr>
        <w:t>á</w:t>
      </w:r>
      <w:r>
        <w:t xml:space="preserve"> tratamento curativo para a SAF/FASD, sendo o manejo focado em tratamento de suporte multidisciplinar, intervenções educacionais e acompanhamento ao longo da vida. A prevenção, por meio da abstinência total de álcool durante a gestação, é apontada</w:t>
      </w:r>
    </w:p>
    <w:p w14:paraId="7034EF30" w14:textId="77777777" w:rsidR="00404B18" w:rsidRDefault="00404B18" w:rsidP="00404B18">
      <w:pPr>
        <w:tabs>
          <w:tab w:val="left" w:pos="2918"/>
        </w:tabs>
      </w:pPr>
      <w:r>
        <w:lastRenderedPageBreak/>
        <w:t>como a única estratégia eficaz, com recomendação expressa de tolerância zero ao consumo de álcool na gravidez, conforme diretrizes</w:t>
      </w:r>
    </w:p>
    <w:p w14:paraId="39C8E94B" w14:textId="77777777" w:rsidR="00404B18" w:rsidRDefault="00404B18" w:rsidP="00404B18">
      <w:pPr>
        <w:tabs>
          <w:tab w:val="left" w:pos="2918"/>
        </w:tabs>
      </w:pPr>
      <w:r>
        <w:t>internacionais. Conclui</w:t>
      </w:r>
      <w:r>
        <w:rPr>
          <w:rFonts w:ascii="Cambria Math" w:hAnsi="Cambria Math" w:cs="Cambria Math"/>
        </w:rPr>
        <w:t>‑</w:t>
      </w:r>
      <w:r>
        <w:t>se que a exposi</w:t>
      </w:r>
      <w:r>
        <w:rPr>
          <w:rFonts w:ascii="Aptos" w:hAnsi="Aptos" w:cs="Aptos"/>
        </w:rPr>
        <w:t>çã</w:t>
      </w:r>
      <w:r>
        <w:t>o pr</w:t>
      </w:r>
      <w:r>
        <w:rPr>
          <w:rFonts w:ascii="Aptos" w:hAnsi="Aptos" w:cs="Aptos"/>
        </w:rPr>
        <w:t>é</w:t>
      </w:r>
      <w:r>
        <w:rPr>
          <w:rFonts w:ascii="Cambria Math" w:hAnsi="Cambria Math" w:cs="Cambria Math"/>
        </w:rPr>
        <w:t>‑</w:t>
      </w:r>
      <w:r>
        <w:t xml:space="preserve">natal ao </w:t>
      </w:r>
      <w:r>
        <w:rPr>
          <w:rFonts w:ascii="Aptos" w:hAnsi="Aptos" w:cs="Aptos"/>
        </w:rPr>
        <w:t>á</w:t>
      </w:r>
      <w:r>
        <w:t xml:space="preserve">lcool representa grave agravo </w:t>
      </w:r>
      <w:r>
        <w:rPr>
          <w:rFonts w:ascii="Aptos" w:hAnsi="Aptos" w:cs="Aptos"/>
        </w:rPr>
        <w:t>à</w:t>
      </w:r>
      <w:r>
        <w:t xml:space="preserve"> sa</w:t>
      </w:r>
      <w:r>
        <w:rPr>
          <w:rFonts w:ascii="Aptos" w:hAnsi="Aptos" w:cs="Aptos"/>
        </w:rPr>
        <w:t>ú</w:t>
      </w:r>
      <w:r>
        <w:t>de p</w:t>
      </w:r>
      <w:r>
        <w:rPr>
          <w:rFonts w:ascii="Aptos" w:hAnsi="Aptos" w:cs="Aptos"/>
        </w:rPr>
        <w:t>ú</w:t>
      </w:r>
      <w:r>
        <w:t>blica, exigindo a</w:t>
      </w:r>
      <w:r>
        <w:rPr>
          <w:rFonts w:ascii="Aptos" w:hAnsi="Aptos" w:cs="Aptos"/>
        </w:rPr>
        <w:t>çõ</w:t>
      </w:r>
      <w:r>
        <w:t>es permanentes de orienta</w:t>
      </w:r>
      <w:r>
        <w:rPr>
          <w:rFonts w:ascii="Aptos" w:hAnsi="Aptos" w:cs="Aptos"/>
        </w:rPr>
        <w:t>çã</w:t>
      </w:r>
      <w:r>
        <w:t>o no pr</w:t>
      </w:r>
      <w:r>
        <w:rPr>
          <w:rFonts w:ascii="Aptos" w:hAnsi="Aptos" w:cs="Aptos"/>
        </w:rPr>
        <w:t>é</w:t>
      </w:r>
      <w:r>
        <w:rPr>
          <w:rFonts w:ascii="Cambria Math" w:hAnsi="Cambria Math" w:cs="Cambria Math"/>
        </w:rPr>
        <w:t>‑</w:t>
      </w:r>
      <w:r>
        <w:t>natal, capacita</w:t>
      </w:r>
      <w:r>
        <w:rPr>
          <w:rFonts w:ascii="Aptos" w:hAnsi="Aptos" w:cs="Aptos"/>
        </w:rPr>
        <w:t>çã</w:t>
      </w:r>
      <w:r>
        <w:t>o profissional e ampla divulga</w:t>
      </w:r>
      <w:r>
        <w:rPr>
          <w:rFonts w:ascii="Aptos" w:hAnsi="Aptos" w:cs="Aptos"/>
        </w:rPr>
        <w:t>çã</w:t>
      </w:r>
      <w:r>
        <w:t>o de informa</w:t>
      </w:r>
      <w:r>
        <w:rPr>
          <w:rFonts w:ascii="Aptos" w:hAnsi="Aptos" w:cs="Aptos"/>
        </w:rPr>
        <w:t>çõ</w:t>
      </w:r>
      <w:r>
        <w:t xml:space="preserve">es </w:t>
      </w:r>
      <w:r>
        <w:rPr>
          <w:rFonts w:ascii="Aptos" w:hAnsi="Aptos" w:cs="Aptos"/>
        </w:rPr>
        <w:t>à</w:t>
      </w:r>
      <w:r>
        <w:t xml:space="preserve"> popula</w:t>
      </w:r>
      <w:r>
        <w:rPr>
          <w:rFonts w:ascii="Aptos" w:hAnsi="Aptos" w:cs="Aptos"/>
        </w:rPr>
        <w:t>çã</w:t>
      </w:r>
      <w:r>
        <w:t>o para prote</w:t>
      </w:r>
      <w:r>
        <w:rPr>
          <w:rFonts w:ascii="Aptos" w:hAnsi="Aptos" w:cs="Aptos"/>
        </w:rPr>
        <w:t>çã</w:t>
      </w:r>
      <w:r>
        <w:t>o do desenvolvimento fetal. A Comiss</w:t>
      </w:r>
      <w:r>
        <w:rPr>
          <w:rFonts w:ascii="Aptos" w:hAnsi="Aptos" w:cs="Aptos"/>
        </w:rPr>
        <w:t>ã</w:t>
      </w:r>
      <w:r>
        <w:t>o de Sa</w:t>
      </w:r>
      <w:r>
        <w:rPr>
          <w:rFonts w:ascii="Aptos" w:hAnsi="Aptos" w:cs="Aptos"/>
        </w:rPr>
        <w:t>ú</w:t>
      </w:r>
      <w:r>
        <w:t>de, Promo</w:t>
      </w:r>
      <w:r>
        <w:rPr>
          <w:rFonts w:ascii="Aptos" w:hAnsi="Aptos" w:cs="Aptos"/>
        </w:rPr>
        <w:t>çã</w:t>
      </w:r>
      <w:r>
        <w:t xml:space="preserve">o Social, Trabalho e Mulher, no </w:t>
      </w:r>
      <w:r>
        <w:rPr>
          <w:rFonts w:ascii="Aptos" w:hAnsi="Aptos" w:cs="Aptos"/>
        </w:rPr>
        <w:t>â</w:t>
      </w:r>
      <w:r>
        <w:t>mbito de sua compet</w:t>
      </w:r>
      <w:r>
        <w:rPr>
          <w:rFonts w:ascii="Aptos" w:hAnsi="Aptos" w:cs="Aptos"/>
        </w:rPr>
        <w:t>ê</w:t>
      </w:r>
      <w:r>
        <w:t xml:space="preserve">ncia, entende que a propositura </w:t>
      </w:r>
      <w:r>
        <w:rPr>
          <w:rFonts w:ascii="Aptos" w:hAnsi="Aptos" w:cs="Aptos"/>
        </w:rPr>
        <w:t>é</w:t>
      </w:r>
      <w:r>
        <w:t xml:space="preserve"> merit</w:t>
      </w:r>
      <w:r>
        <w:rPr>
          <w:rFonts w:ascii="Aptos" w:hAnsi="Aptos" w:cs="Aptos"/>
        </w:rPr>
        <w:t>ó</w:t>
      </w:r>
      <w:r>
        <w:t>ria,</w:t>
      </w:r>
    </w:p>
    <w:p w14:paraId="6BAAA89A" w14:textId="77777777" w:rsidR="00404B18" w:rsidRDefault="00404B18" w:rsidP="00404B18">
      <w:pPr>
        <w:tabs>
          <w:tab w:val="left" w:pos="2918"/>
        </w:tabs>
      </w:pPr>
      <w:r>
        <w:t>relevante e deve prosperar, eis que visa reforçar a prevenção da Síndrome Alcoólica Fetal, agravo grave e totalmente evitável, ao assegurar orientação sistemática no pré-natal sobre a abstinência total de álcool, medida essencial para a proteção do desenvolvimento</w:t>
      </w:r>
    </w:p>
    <w:p w14:paraId="0D130B4B" w14:textId="77777777" w:rsidR="00404B18" w:rsidRDefault="00404B18" w:rsidP="00404B18">
      <w:pPr>
        <w:tabs>
          <w:tab w:val="left" w:pos="2918"/>
        </w:tabs>
      </w:pPr>
      <w:r>
        <w:t>fetal e para a redução de danos permanentes à saúde pública, sendo, portanto, favorável nos termos do Substitutivo da Comissão de Constituição, Justiça e Legislação Participativa, o parecer. Sala da Comissão de Saúde, Promoção Social, Trabalho e Mulher, em 19/08/2026. Ver. Ely Teruel (MDB) - Presidente Ver. Dra. Sandra Tadeu (PL) - Vice-presidente Ver. Adilson Amadeu (UNIÃO)</w:t>
      </w:r>
    </w:p>
    <w:p w14:paraId="2EA4ECBA" w14:textId="77777777" w:rsidR="00404B18" w:rsidRDefault="00404B18" w:rsidP="00404B18">
      <w:pPr>
        <w:tabs>
          <w:tab w:val="left" w:pos="2918"/>
        </w:tabs>
      </w:pPr>
      <w:r>
        <w:t>Ver. Amanda Paschoal (PSOL)</w:t>
      </w:r>
    </w:p>
    <w:p w14:paraId="081A630E" w14:textId="77777777" w:rsidR="00404B18" w:rsidRDefault="00404B18" w:rsidP="00404B18">
      <w:pPr>
        <w:tabs>
          <w:tab w:val="left" w:pos="2918"/>
        </w:tabs>
      </w:pPr>
      <w:r>
        <w:t>Ver. Roberto Tripoli (PV)</w:t>
      </w:r>
    </w:p>
    <w:p w14:paraId="7756CE80" w14:textId="77777777" w:rsidR="00404B18" w:rsidRDefault="00404B18" w:rsidP="00404B18">
      <w:pPr>
        <w:tabs>
          <w:tab w:val="left" w:pos="2918"/>
        </w:tabs>
      </w:pPr>
      <w:r>
        <w:t>Ver. Simone Ganem (PODE) - Relatoria</w:t>
      </w:r>
    </w:p>
    <w:p w14:paraId="583CEA1A" w14:textId="77777777" w:rsidR="00404B18" w:rsidRDefault="00404B18" w:rsidP="00404B18">
      <w:pPr>
        <w:tabs>
          <w:tab w:val="left" w:pos="2918"/>
        </w:tabs>
      </w:pPr>
      <w:r>
        <w:t>PARECER N° 1156/2026 DA COMISSÃO DE SAÚDE, PROMOÇÃO SOCIAL, TRABALHO E MULHER SOBRE O PROJETO DE LEI N° 209/2024. O presente projeto, de autoria da nobre Vereadora Sandra Santana, altera a Lei 17.827/2022 que dispõe sobre a estrutura, organização e</w:t>
      </w:r>
    </w:p>
    <w:p w14:paraId="33EDCCF9" w14:textId="77777777" w:rsidR="00404B18" w:rsidRDefault="00404B18" w:rsidP="00404B18">
      <w:pPr>
        <w:tabs>
          <w:tab w:val="left" w:pos="2918"/>
        </w:tabs>
      </w:pPr>
      <w:r>
        <w:t>funcionamento dos Conselhos Tutelares no Munícipio de São Paulo, e dá outras providências. A Comissão de Constituição, Justiça e Legislação Participativa emitiu parecer de legalidade. A Comissão de Administração Pública exarou parecer favorável. A presente propositura estabelece a alteração do artigo 34 da Lei 17.827/22 com a finalidade de acrescer, dentre os requisitos para ser Conselheiro Tutelar, a aprovação em exame sobre legislações específicas correlatas a crianças e adolescentes e a ser formulada por uma Comissão designada pelo CMDCA, realizada antes do prazo regimental de escolha. O dispositivo estabelece os critérios para a escolha dos membros do Conselho Tutelar, prevendo que a candidatura seja individual e</w:t>
      </w:r>
    </w:p>
    <w:p w14:paraId="44DD4B04" w14:textId="77777777" w:rsidR="00404B18" w:rsidRDefault="00404B18" w:rsidP="00404B18">
      <w:pPr>
        <w:tabs>
          <w:tab w:val="left" w:pos="2918"/>
        </w:tabs>
      </w:pPr>
      <w:r>
        <w:t>restrita a cidadãos em pleno exercício dos direitos políticos, residentes no Município de São Paulo e na área de abrangência da Subprefeitura correspondente ao Conselho pretendido. Define</w:t>
      </w:r>
      <w:r>
        <w:rPr>
          <w:rFonts w:ascii="Cambria Math" w:hAnsi="Cambria Math" w:cs="Cambria Math"/>
        </w:rPr>
        <w:t>‑</w:t>
      </w:r>
      <w:r>
        <w:t>se como requisitos b</w:t>
      </w:r>
      <w:r>
        <w:rPr>
          <w:rFonts w:ascii="Aptos" w:hAnsi="Aptos" w:cs="Aptos"/>
        </w:rPr>
        <w:t>á</w:t>
      </w:r>
      <w:r>
        <w:t xml:space="preserve">sicos a </w:t>
      </w:r>
      <w:r>
        <w:lastRenderedPageBreak/>
        <w:t>idoneidade moral comprovada, idade m</w:t>
      </w:r>
      <w:r>
        <w:rPr>
          <w:rFonts w:ascii="Aptos" w:hAnsi="Aptos" w:cs="Aptos"/>
        </w:rPr>
        <w:t>í</w:t>
      </w:r>
      <w:r>
        <w:t>nima de 21 anos e escolaridade equivalente ao ensino m</w:t>
      </w:r>
      <w:r>
        <w:rPr>
          <w:rFonts w:ascii="Aptos" w:hAnsi="Aptos" w:cs="Aptos"/>
        </w:rPr>
        <w:t>é</w:t>
      </w:r>
      <w:r>
        <w:t>dio completo. O texto tamb</w:t>
      </w:r>
      <w:r>
        <w:rPr>
          <w:rFonts w:ascii="Aptos" w:hAnsi="Aptos" w:cs="Aptos"/>
        </w:rPr>
        <w:t>é</w:t>
      </w:r>
      <w:r>
        <w:t>m autoriza a ado</w:t>
      </w:r>
      <w:r>
        <w:rPr>
          <w:rFonts w:ascii="Aptos" w:hAnsi="Aptos" w:cs="Aptos"/>
        </w:rPr>
        <w:t>çã</w:t>
      </w:r>
      <w:r>
        <w:t>o de etapa eliminat</w:t>
      </w:r>
      <w:r>
        <w:rPr>
          <w:rFonts w:ascii="Aptos" w:hAnsi="Aptos" w:cs="Aptos"/>
        </w:rPr>
        <w:t>ó</w:t>
      </w:r>
      <w:r>
        <w:t>ria pr</w:t>
      </w:r>
      <w:r>
        <w:rPr>
          <w:rFonts w:ascii="Aptos" w:hAnsi="Aptos" w:cs="Aptos"/>
        </w:rPr>
        <w:t>é</w:t>
      </w:r>
      <w:r>
        <w:t>via ao processo eletivo, consistente em avalia</w:t>
      </w:r>
      <w:r>
        <w:rPr>
          <w:rFonts w:ascii="Aptos" w:hAnsi="Aptos" w:cs="Aptos"/>
        </w:rPr>
        <w:t>çã</w:t>
      </w:r>
      <w:r>
        <w:t>o de conhecimentos espec</w:t>
      </w:r>
      <w:r>
        <w:rPr>
          <w:rFonts w:ascii="Aptos" w:hAnsi="Aptos" w:cs="Aptos"/>
        </w:rPr>
        <w:t>í</w:t>
      </w:r>
      <w:r>
        <w:t xml:space="preserve">ficos, com </w:t>
      </w:r>
      <w:r>
        <w:rPr>
          <w:rFonts w:ascii="Aptos" w:hAnsi="Aptos" w:cs="Aptos"/>
        </w:rPr>
        <w:t>ê</w:t>
      </w:r>
      <w:r>
        <w:t>nfase no Estatuto da Crian</w:t>
      </w:r>
      <w:r>
        <w:rPr>
          <w:rFonts w:ascii="Aptos" w:hAnsi="Aptos" w:cs="Aptos"/>
        </w:rPr>
        <w:t>ç</w:t>
      </w:r>
      <w:r>
        <w:t>a e do Adolescente (Lei</w:t>
      </w:r>
    </w:p>
    <w:p w14:paraId="7893BB21" w14:textId="77777777" w:rsidR="00404B18" w:rsidRDefault="00404B18" w:rsidP="00404B18">
      <w:pPr>
        <w:tabs>
          <w:tab w:val="left" w:pos="2918"/>
        </w:tabs>
      </w:pPr>
      <w:r>
        <w:t>Federal nº 8.069/1990), a ser aplicada antes da votação popular, sob regulamentação do Poder Executivo e com a participação do CMDCA, como forma de assegurar a aptidão técnica dos candidatos ao exercício da função. A Comissão de Saúde, Promoção Social, Trabalho e Mulher, no âmbito de sua competência, entende que a propositura é meritória,</w:t>
      </w:r>
    </w:p>
    <w:p w14:paraId="567EE9A8" w14:textId="77777777" w:rsidR="00404B18" w:rsidRDefault="00404B18" w:rsidP="00404B18">
      <w:pPr>
        <w:tabs>
          <w:tab w:val="left" w:pos="2918"/>
        </w:tabs>
      </w:pPr>
      <w:r>
        <w:t>relevante e deve prosperar, eis que visa assegurar que os candidatos ao Conselho Tutelar possuam preparo técnico mínimo e domínio da</w:t>
      </w:r>
    </w:p>
    <w:p w14:paraId="5DD6B7DB" w14:textId="77777777" w:rsidR="00404B18" w:rsidRDefault="00404B18" w:rsidP="00404B18">
      <w:pPr>
        <w:tabs>
          <w:tab w:val="left" w:pos="2918"/>
        </w:tabs>
      </w:pPr>
      <w:r>
        <w:t>legislação de proteção à criança e ao adolescente, qualificando o exercício da função e fortalecendo a efetividade da garantia de direitos,</w:t>
      </w:r>
    </w:p>
    <w:p w14:paraId="115846FF" w14:textId="77777777" w:rsidR="00404B18" w:rsidRDefault="00404B18" w:rsidP="00404B18">
      <w:pPr>
        <w:tabs>
          <w:tab w:val="left" w:pos="2918"/>
        </w:tabs>
      </w:pPr>
      <w:r>
        <w:t>sendo, portanto, favorável o parecer. Sala da Comissão de Saúde, Promoção Social, Trabalho e Mulher, em 19/08/2026. Ver. Ely Teruel (MDB) - Presidente Ver. Dra. Sandra Tadeu (PL) - Vice-presidente Ver. Adilson Amadeu (UNIÃO)</w:t>
      </w:r>
    </w:p>
    <w:p w14:paraId="02A85079" w14:textId="77777777" w:rsidR="00404B18" w:rsidRDefault="00404B18" w:rsidP="00404B18">
      <w:pPr>
        <w:tabs>
          <w:tab w:val="left" w:pos="2918"/>
        </w:tabs>
      </w:pPr>
      <w:r>
        <w:t>Ver. Amanda Paschoal (PSOL)</w:t>
      </w:r>
    </w:p>
    <w:p w14:paraId="0E23EF67" w14:textId="77777777" w:rsidR="00404B18" w:rsidRDefault="00404B18" w:rsidP="00404B18">
      <w:pPr>
        <w:tabs>
          <w:tab w:val="left" w:pos="2918"/>
        </w:tabs>
      </w:pPr>
      <w:r>
        <w:t>Ver. Roberto Tripoli (PV)</w:t>
      </w:r>
    </w:p>
    <w:p w14:paraId="13A3F3CD" w14:textId="77777777" w:rsidR="00404B18" w:rsidRDefault="00404B18" w:rsidP="00404B18">
      <w:pPr>
        <w:tabs>
          <w:tab w:val="left" w:pos="2918"/>
        </w:tabs>
      </w:pPr>
      <w:r>
        <w:t>Ver. Simone Ganem (PODE) - Relatoria</w:t>
      </w:r>
    </w:p>
    <w:p w14:paraId="13CCBE7E" w14:textId="77777777" w:rsidR="00404B18" w:rsidRDefault="00404B18" w:rsidP="00404B18">
      <w:pPr>
        <w:tabs>
          <w:tab w:val="left" w:pos="2918"/>
        </w:tabs>
      </w:pPr>
      <w:r>
        <w:t>PARECER N° 1158/2026 DA COMISSÃO DE SAÚDE, PROMOÇÃO SOCIAL, TRABALHO E MULHER SOBRE O PROJETO DE LEI N° 831/2024. O presente projeto, de autoria dos nobres Vereadores Jair Tatto e Marcelo Messias, institui o “Programa Remédio em Casa”, com o</w:t>
      </w:r>
    </w:p>
    <w:p w14:paraId="30B49209" w14:textId="77777777" w:rsidR="00404B18" w:rsidRDefault="00404B18" w:rsidP="00404B18">
      <w:pPr>
        <w:tabs>
          <w:tab w:val="left" w:pos="2918"/>
        </w:tabs>
      </w:pPr>
      <w:r>
        <w:t xml:space="preserve">objetivo de enviar diretamente os medicamentos de uso contínuo para cidadãos em tratamento e em situação de vulnerabilidade, no âmbito do município de São Paulo. A Comissão de Constituição, Justiça e Legislação Participativa emitiu parecer de legalidade. A Comissão de Administração Pública exarou parecer favorável. A presente propositura, institui o Programa Remédio em Casa no âmbito do Município de São Paulo, com a finalidade de assegurar a entrega domiciliar de medicamentos de uso contínuo a cidadãos em situação de vulnerabilidade, como idosos, pessoas com deficiência, mobilidade reduzida ou portadores de doenças crônicas e raras. A iniciativa busca aprimorar a gestão do fornecimento de medicamentos, por meio de controle centralizado de estoque e distribuição, além de evitar o deslocamento dos pacientes ou de seus cuidadores para a retirada periódica dos remédios. Prevê o acompanhamento do tratamento conforme protocolos médicos e a garantia do fornecimento contínuo e gratuito dos </w:t>
      </w:r>
      <w:r>
        <w:lastRenderedPageBreak/>
        <w:t>medicamentos necessários, e a entrega será realizada com base em cadastro atualizado do beneficiário, podendo ocorrer diretamente em seu domicílio por meio de</w:t>
      </w:r>
    </w:p>
    <w:p w14:paraId="1A5327D5" w14:textId="77777777" w:rsidR="00404B18" w:rsidRDefault="00404B18" w:rsidP="00404B18">
      <w:pPr>
        <w:tabs>
          <w:tab w:val="left" w:pos="2918"/>
        </w:tabs>
      </w:pPr>
      <w:r>
        <w:t>agentes comunitários de saúde, contribuindo para o monitoramento clínico e a promoção do bem-estar dos usuários, bem como para o</w:t>
      </w:r>
    </w:p>
    <w:p w14:paraId="032BD194" w14:textId="77777777" w:rsidR="00404B18" w:rsidRDefault="00404B18" w:rsidP="00404B18">
      <w:pPr>
        <w:tabs>
          <w:tab w:val="left" w:pos="2918"/>
        </w:tabs>
      </w:pPr>
      <w:r>
        <w:t>fortalecimento da eficiência e credibilidade do sistema público de saúde. De acordo com a justificativa dos autores, o Programa “Remédio em Casa” configura-se como uma iniciativa relevante para o aprimoramento da assistência à saúde no Município de São Paulo, ao promover maior acesso aos medicamentos essenciais por parte de</w:t>
      </w:r>
    </w:p>
    <w:p w14:paraId="4313BAE9" w14:textId="77777777" w:rsidR="00404B18" w:rsidRDefault="00404B18" w:rsidP="00404B18">
      <w:pPr>
        <w:tabs>
          <w:tab w:val="left" w:pos="2918"/>
        </w:tabs>
      </w:pPr>
      <w:r>
        <w:t>cidadãos em situação de vulnerabilidade. Em consonância com o disposto na Constituição Federal, que assegura a saúde como direito universal e dever do Estado, a proposta busca enfrentar obstáculos que dificultam o acesso contínuo ao tratamento, especialmente entre</w:t>
      </w:r>
    </w:p>
    <w:p w14:paraId="66F65390" w14:textId="77777777" w:rsidR="00404B18" w:rsidRDefault="00404B18" w:rsidP="00404B18">
      <w:pPr>
        <w:tabs>
          <w:tab w:val="left" w:pos="2918"/>
        </w:tabs>
      </w:pPr>
      <w:r>
        <w:t>idosos, pessoas com deficiência, indivíduos com mobilidade reduzida e portadores de doenças crônicas. Nesse contexto, a medida visa superar barreiras físicas e logísticas ao garantir a entrega domiciliar de medicamentos, contribuindo para</w:t>
      </w:r>
    </w:p>
    <w:p w14:paraId="12F0A0C5" w14:textId="77777777" w:rsidR="00404B18" w:rsidRDefault="00404B18" w:rsidP="00404B18">
      <w:pPr>
        <w:tabs>
          <w:tab w:val="left" w:pos="2918"/>
        </w:tabs>
      </w:pPr>
      <w:r>
        <w:t>a equidade no acesso aos serviços de saúde e reduzindo a necessidade de deslocamentos frequentes por parte dos pacientes e seus</w:t>
      </w:r>
    </w:p>
    <w:p w14:paraId="345456CC" w14:textId="77777777" w:rsidR="00404B18" w:rsidRDefault="00404B18" w:rsidP="00404B18">
      <w:pPr>
        <w:tabs>
          <w:tab w:val="left" w:pos="2918"/>
        </w:tabs>
      </w:pPr>
      <w:r>
        <w:t>cuidadores. Tal iniciativa proporciona maior conforto, segurança e qualidade de vida aos beneficiários, além de favorecer a adesão ao</w:t>
      </w:r>
    </w:p>
    <w:p w14:paraId="2292908D" w14:textId="77777777" w:rsidR="00404B18" w:rsidRDefault="00404B18" w:rsidP="00404B18">
      <w:pPr>
        <w:tabs>
          <w:tab w:val="left" w:pos="2918"/>
        </w:tabs>
      </w:pPr>
      <w:r>
        <w:t>tratamento. Adicionalmente, a proposta contempla a possibilidade de acompanhamento domiciliar por equipes de saúde, o que representa um</w:t>
      </w:r>
    </w:p>
    <w:p w14:paraId="6BC02CCA" w14:textId="77777777" w:rsidR="00404B18" w:rsidRDefault="00404B18" w:rsidP="00404B18">
      <w:pPr>
        <w:tabs>
          <w:tab w:val="left" w:pos="2918"/>
        </w:tabs>
      </w:pPr>
      <w:r>
        <w:t>avanço na promoção do cuidado integral. Esse modelo permite o monitoramento contínuo do estado clínico dos pacientes, a identificação precoce de complicações e a adequação dos tratamentos, contribuindo para a prevenção de agravos e para a maior eficiência do</w:t>
      </w:r>
    </w:p>
    <w:p w14:paraId="46832ABB" w14:textId="77777777" w:rsidR="00404B18" w:rsidRDefault="00404B18" w:rsidP="00404B18">
      <w:pPr>
        <w:tabs>
          <w:tab w:val="left" w:pos="2918"/>
        </w:tabs>
      </w:pPr>
      <w:r>
        <w:t>sistema de saúde. Cabe destacar que a Secretaria Municipal de Saúde de São Paulo conta com este programa desde 12/07/2005, quando iniciou a</w:t>
      </w:r>
    </w:p>
    <w:p w14:paraId="310B30C2" w14:textId="77777777" w:rsidR="00404B18" w:rsidRDefault="00404B18" w:rsidP="00404B18">
      <w:pPr>
        <w:tabs>
          <w:tab w:val="left" w:pos="2918"/>
        </w:tabs>
      </w:pPr>
      <w:r>
        <w:t>implantação para atender os portadores de Hipertensão arterial (HA) e/ou Diabetes mellitus (DM). O programa da Secretaria de Saúde</w:t>
      </w:r>
    </w:p>
    <w:p w14:paraId="155A60BD" w14:textId="77777777" w:rsidR="00404B18" w:rsidRDefault="00404B18" w:rsidP="00404B18">
      <w:pPr>
        <w:tabs>
          <w:tab w:val="left" w:pos="2918"/>
        </w:tabs>
      </w:pPr>
      <w:r>
        <w:t>consiste na entrega domiciliar de medicamentos em quantidade suficiente para um período de até 90 dias, destinada a pacientes com</w:t>
      </w:r>
    </w:p>
    <w:p w14:paraId="473DF978" w14:textId="77777777" w:rsidR="00404B18" w:rsidRDefault="00404B18" w:rsidP="00404B18">
      <w:pPr>
        <w:tabs>
          <w:tab w:val="left" w:pos="2918"/>
        </w:tabs>
      </w:pPr>
      <w:r>
        <w:lastRenderedPageBreak/>
        <w:t>doenças crônicas que se encontrem clinicamente estáveis e em acompanhamento regular nas unidades de saúde. Sua principal finalidade é assegurar o acesso contínuo e eficaz aos medicamentos, ao mesmo tempo em que organiza e qualifica o atendimento aos portadores de doenças crônicas, contribuindo para a adesão ao tratamento e a melhoria das condições de saúde dos beneficiários, A principal característica do Programa reside na utilização de um sistema totalmente informatizado, que permite a gestão integrada e</w:t>
      </w:r>
    </w:p>
    <w:p w14:paraId="2F983D06" w14:textId="77777777" w:rsidR="00404B18" w:rsidRDefault="00404B18" w:rsidP="00404B18">
      <w:pPr>
        <w:tabs>
          <w:tab w:val="left" w:pos="2918"/>
        </w:tabs>
      </w:pPr>
      <w:r>
        <w:t>eficiente das informações dos usuários. O manual do sistema GSS/Remédio em Casa é disponibilizado e atualizado de forma contínua em</w:t>
      </w:r>
    </w:p>
    <w:p w14:paraId="7E69CD24" w14:textId="77777777" w:rsidR="00404B18" w:rsidRDefault="00404B18" w:rsidP="00404B18">
      <w:pPr>
        <w:tabs>
          <w:tab w:val="left" w:pos="2918"/>
        </w:tabs>
      </w:pPr>
      <w:r>
        <w:t>ambiente digital, acessível diretamente pelas unidades de saúde habilitadas, que realizam o cadastramento e o acompanhamento dos pacientes por meio de relatórios operacionais e gerenciais, assegurando maior controle e monitoramento das ações desenvolvidas. A Comissão de Saúde, Promoção Social, Trabalho e Mulher, no âmbito de sua competência, entende que a propositura é meritória,</w:t>
      </w:r>
    </w:p>
    <w:p w14:paraId="3BEFE699" w14:textId="77777777" w:rsidR="00404B18" w:rsidRDefault="00404B18" w:rsidP="00404B18">
      <w:pPr>
        <w:tabs>
          <w:tab w:val="left" w:pos="2918"/>
        </w:tabs>
      </w:pPr>
      <w:r>
        <w:t>relevante e deve prosperar, eis que visa promover a ampliação do acesso contínuo a medicamentos essenciais, reduzir barreiras de mobilidade e fortalecer a efetividade e a equidade na prestação dos serviços públicos de saúde no Município de São Paulo, sendo, portanto, favorável o parecer. Sala da Comissão de Saúde, Promoção Social, Trabalho e Mulher, em 19/08/2026. Ver. Ely Teruel (MDB) - Presidente Ver. Dra. Sandra Tadeu (PL) - Vice-presidente Ver. Adilson Amadeu (UNIÃO)</w:t>
      </w:r>
    </w:p>
    <w:p w14:paraId="7D6E539F" w14:textId="77777777" w:rsidR="00404B18" w:rsidRDefault="00404B18" w:rsidP="00404B18">
      <w:pPr>
        <w:tabs>
          <w:tab w:val="left" w:pos="2918"/>
        </w:tabs>
      </w:pPr>
      <w:r>
        <w:t>Ver. Amanda Paschoal (PSOL) - Relatoria</w:t>
      </w:r>
    </w:p>
    <w:p w14:paraId="0C8AE503" w14:textId="77777777" w:rsidR="00404B18" w:rsidRDefault="00404B18" w:rsidP="00404B18">
      <w:pPr>
        <w:tabs>
          <w:tab w:val="left" w:pos="2918"/>
        </w:tabs>
      </w:pPr>
      <w:r>
        <w:t>Ver. Roberto Tripoli (PV)</w:t>
      </w:r>
    </w:p>
    <w:p w14:paraId="47806D72" w14:textId="77777777" w:rsidR="00404B18" w:rsidRDefault="00404B18" w:rsidP="00404B18">
      <w:pPr>
        <w:tabs>
          <w:tab w:val="left" w:pos="2918"/>
        </w:tabs>
      </w:pPr>
      <w:r>
        <w:t>Ver. Simone Ganem (PODE)</w:t>
      </w:r>
    </w:p>
    <w:p w14:paraId="24F38196" w14:textId="77777777" w:rsidR="00404B18" w:rsidRDefault="00404B18" w:rsidP="00404B18">
      <w:pPr>
        <w:tabs>
          <w:tab w:val="left" w:pos="2918"/>
        </w:tabs>
      </w:pPr>
      <w:r>
        <w:t>PARECER N° 1159/2026 DA COMISSÃO DE SAÚDE, PROMOÇÃO SOCIAL, TRABALHO E MULHER SOBRE O PROJETO DE LEI Nº 87/2025. O presente projeto, de autoria do nobre Vereador André Santos, cria o Programa de Incentivo à Contratação de Pacientes Renais em</w:t>
      </w:r>
    </w:p>
    <w:p w14:paraId="2CBF22CC" w14:textId="77777777" w:rsidR="00404B18" w:rsidRDefault="00404B18" w:rsidP="00404B18">
      <w:pPr>
        <w:tabs>
          <w:tab w:val="left" w:pos="2918"/>
        </w:tabs>
      </w:pPr>
      <w:r>
        <w:t>Diálise e Transplantados. A Comissão de Constituição, Justiça e Legislação Participativa exarou parecer pela legalidade. A Comissão de Trânsito, Transporte e Atividade Econômica elaborou parecer favorável. A proposta cria o Programa de Incentivo à Contratação de Pacientes Renais em Diálise e Transplantados, com o objetivo de estimular a</w:t>
      </w:r>
    </w:p>
    <w:p w14:paraId="3BA6B4A4" w14:textId="77777777" w:rsidR="00404B18" w:rsidRDefault="00404B18" w:rsidP="00404B18">
      <w:pPr>
        <w:tabs>
          <w:tab w:val="left" w:pos="2918"/>
        </w:tabs>
      </w:pPr>
      <w:r>
        <w:t xml:space="preserve">inserção dessas pessoas no mercado de trabalho por meio da concessão de incentivos fiscais às empresas que as contratarem. A partir do ano-calendário seguinte à sanção da medida, as pessoas jurídicas poderão deduzir em dobro, </w:t>
      </w:r>
      <w:r>
        <w:lastRenderedPageBreak/>
        <w:t>para fins de apuração do lucro real e de determinação da base de cálculo da Contribuição Social sobre o Lucro Líquido (CSLL), as despesas necessárias decorrentes das</w:t>
      </w:r>
    </w:p>
    <w:p w14:paraId="056CCAD4" w14:textId="77777777" w:rsidR="00404B18" w:rsidRDefault="00404B18" w:rsidP="00404B18">
      <w:pPr>
        <w:tabs>
          <w:tab w:val="left" w:pos="2918"/>
        </w:tabs>
      </w:pPr>
      <w:r>
        <w:t>remunerações pagas ou creditadas aos trabalhadores contratados que sejam pacientes renais em diálise ou transplantados. Segundo a justificativa, a proposta busca concretizar o direito fundamental à saúde, incentivando a contratação de pacientes renais em</w:t>
      </w:r>
    </w:p>
    <w:p w14:paraId="39ADD2ED" w14:textId="77777777" w:rsidR="00404B18" w:rsidRDefault="00404B18" w:rsidP="00404B18">
      <w:pPr>
        <w:tabs>
          <w:tab w:val="left" w:pos="2918"/>
        </w:tabs>
      </w:pPr>
      <w:r>
        <w:t>diálise e transplantados, favorecendo sua reinserção no mercado de trabalho. A iniciativa pretende ampliar a independência financeira, a participação social e as oportunidades de desenvolvimento profissional dessas pessoas, reconhecendo também suas habilidades,</w:t>
      </w:r>
    </w:p>
    <w:p w14:paraId="5C819281" w14:textId="77777777" w:rsidR="00404B18" w:rsidRDefault="00404B18" w:rsidP="00404B18">
      <w:pPr>
        <w:tabs>
          <w:tab w:val="left" w:pos="2918"/>
        </w:tabs>
      </w:pPr>
      <w:r>
        <w:t>conhecimentos e experiências como elementos capazes de contribuir para a diversidade, o crescimento e a inovação das empresas. A medida também procura estimular os empregadores a oferecerem condições de trabalho adequadas às necessidades desses</w:t>
      </w:r>
    </w:p>
    <w:p w14:paraId="71DE58D8" w14:textId="77777777" w:rsidR="00404B18" w:rsidRDefault="00404B18" w:rsidP="00404B18">
      <w:pPr>
        <w:tabs>
          <w:tab w:val="left" w:pos="2918"/>
        </w:tabs>
      </w:pPr>
      <w:r>
        <w:t>trabalhadores, mediante adaptações como flexibilidade de horários, pausas para tratamento, ajustes ergonômicos, acesso a serviços médicos e apoio emocional. Dessa forma, busca proporcionar condições para o exercício da atividade profissional de maneira compatível</w:t>
      </w:r>
    </w:p>
    <w:p w14:paraId="7A034B94" w14:textId="77777777" w:rsidR="00404B18" w:rsidRDefault="00404B18" w:rsidP="00404B18">
      <w:pPr>
        <w:tabs>
          <w:tab w:val="left" w:pos="2918"/>
        </w:tabs>
      </w:pPr>
      <w:r>
        <w:t xml:space="preserve">com as necessidades decorrentes do tratamento de saúde. Em face do exposto, a Comissão de Saúde, Promoção Social, Trabalho e Mulher, no âmbito de sua competência, entende que o presente projeto é meritório e merece prosperar, eis que a proposta </w:t>
      </w:r>
      <w:proofErr w:type="gramStart"/>
      <w:r>
        <w:t>mostra-se</w:t>
      </w:r>
      <w:proofErr w:type="gramEnd"/>
      <w:r>
        <w:t xml:space="preserve"> relevante por buscar favorecer a reinserção social e profissional de pacientes renais submetidos à diálise e de pessoas transplantadas, grupos que frequentemente necessitam conciliar suas atividades</w:t>
      </w:r>
    </w:p>
    <w:p w14:paraId="6B77695E" w14:textId="77777777" w:rsidR="00404B18" w:rsidRDefault="00404B18" w:rsidP="00404B18">
      <w:pPr>
        <w:tabs>
          <w:tab w:val="left" w:pos="2918"/>
        </w:tabs>
      </w:pPr>
      <w:r>
        <w:t>cotidianas e profissionais com tratamentos, acompanhamento médico periódico e outros cuidados relacionados à sua condição de saúde. A inserção no mercado de trabalho pode contribuir positivamente para a autonomia, a independência financeira, a autoestima e a participação social desses pacientes, fatores que integram uma concepção ampliada de saúde e qualidade de vida. Além disso, a manutenção de uma atividade profissional compatível com as condições clínicas individuais pode favorecer o bem-estar emocional e</w:t>
      </w:r>
    </w:p>
    <w:p w14:paraId="5F123E0C" w14:textId="77777777" w:rsidR="00404B18" w:rsidRDefault="00404B18" w:rsidP="00404B18">
      <w:pPr>
        <w:tabs>
          <w:tab w:val="left" w:pos="2918"/>
        </w:tabs>
      </w:pPr>
      <w:r>
        <w:t>reduzir situações de isolamento e vulnerabilidade social decorrentes do afastamento prolongado do trabalho. Nesse sentido, o incentivo à</w:t>
      </w:r>
    </w:p>
    <w:p w14:paraId="59E338C9" w14:textId="77777777" w:rsidR="00404B18" w:rsidRDefault="00404B18" w:rsidP="00404B18">
      <w:pPr>
        <w:tabs>
          <w:tab w:val="left" w:pos="2918"/>
        </w:tabs>
      </w:pPr>
      <w:r>
        <w:t xml:space="preserve">contratação desses pacientes apresenta mérito do ponto de vista da promoção da saúde e da inclusão social, ao estimular oportunidades de trabalho e favorecer a </w:t>
      </w:r>
      <w:r>
        <w:lastRenderedPageBreak/>
        <w:t>retomada de uma vida produtiva, desde que sejam respeitadas as limitações individuais, as necessidades</w:t>
      </w:r>
    </w:p>
    <w:p w14:paraId="7D065C78" w14:textId="77777777" w:rsidR="00404B18" w:rsidRDefault="00404B18" w:rsidP="00404B18">
      <w:pPr>
        <w:tabs>
          <w:tab w:val="left" w:pos="2918"/>
        </w:tabs>
      </w:pPr>
      <w:r>
        <w:t>relacionadas ao tratamento e as condições adequadas de saúde e segurança no ambiente laboral, sendo, portanto, o parecer favorável. Sala da Comissão de Saúde, Promoção Social, Trabalho e Mulher, em 19/08/2026. Ver. Ely Teruel (MDB) - Presidente Ver. Dra. Sandra Tadeu (PL) - Vice-presidente Ver. Adilson Amadeu (UNIÃO)</w:t>
      </w:r>
    </w:p>
    <w:p w14:paraId="7816658C" w14:textId="77777777" w:rsidR="00404B18" w:rsidRDefault="00404B18" w:rsidP="00404B18">
      <w:pPr>
        <w:tabs>
          <w:tab w:val="left" w:pos="2918"/>
        </w:tabs>
      </w:pPr>
      <w:r>
        <w:t>Ver. Amanda Paschoal (PSOL)</w:t>
      </w:r>
    </w:p>
    <w:p w14:paraId="0E4292BD" w14:textId="77777777" w:rsidR="00404B18" w:rsidRDefault="00404B18" w:rsidP="00404B18">
      <w:pPr>
        <w:tabs>
          <w:tab w:val="left" w:pos="2918"/>
        </w:tabs>
      </w:pPr>
      <w:r>
        <w:t>Ver. Roberto Tripoli (PV) - Relatoria Ver. Simone Ganem (PODE)</w:t>
      </w:r>
    </w:p>
    <w:p w14:paraId="2B041F46" w14:textId="77777777" w:rsidR="00404B18" w:rsidRDefault="00404B18" w:rsidP="00404B18">
      <w:pPr>
        <w:tabs>
          <w:tab w:val="left" w:pos="2918"/>
        </w:tabs>
      </w:pPr>
      <w:r>
        <w:t>PARECER N° 1160/2026 DA COMISSÃO DE SAÚDE, PROMOÇÃO SOCIAL, TRABALHO E MULHER SOBRE O PROJETO DE LEI N° 288/2025. O presente projeto, de autoria da nobre Vereadora Rute Costa, dispõe sobre a criação do plano municipal de atenção à doença viral</w:t>
      </w:r>
    </w:p>
    <w:p w14:paraId="58308643" w14:textId="77777777" w:rsidR="00404B18" w:rsidRDefault="00404B18" w:rsidP="00404B18">
      <w:pPr>
        <w:tabs>
          <w:tab w:val="left" w:pos="2918"/>
        </w:tabs>
      </w:pPr>
      <w:r>
        <w:t>MPOX, causada pelo vírus MPXV, e dá outras providências. A Comissão de Constituição, Justiça e Legislação Participativa emitiu parecer de legalidade na forma de Substitutivo. A Comissão de Administração Pública exarou parecer favorável nos termos do Substitutivo da Comissão de Constituição, Justiça e</w:t>
      </w:r>
    </w:p>
    <w:p w14:paraId="589B9D44" w14:textId="77777777" w:rsidR="00404B18" w:rsidRDefault="00404B18" w:rsidP="00404B18">
      <w:pPr>
        <w:tabs>
          <w:tab w:val="left" w:pos="2918"/>
        </w:tabs>
      </w:pPr>
      <w:r>
        <w:t xml:space="preserve">Legislação Participativa. A presente propositura visa instituir um Plano Municipal de Atenção à doença viral </w:t>
      </w:r>
      <w:proofErr w:type="spellStart"/>
      <w:r>
        <w:t>Mpox</w:t>
      </w:r>
      <w:proofErr w:type="spellEnd"/>
      <w:r>
        <w:t xml:space="preserve"> (MPXV), em razão da gravidade do cenário epidemiológico, marcado pelo registro de diversos casos no Brasil e pela identificação, em São Paulo, de uma nova cepa do vírus</w:t>
      </w:r>
    </w:p>
    <w:p w14:paraId="64ED2D3E" w14:textId="77777777" w:rsidR="00404B18" w:rsidRDefault="00404B18" w:rsidP="00404B18">
      <w:pPr>
        <w:tabs>
          <w:tab w:val="left" w:pos="2918"/>
        </w:tabs>
      </w:pPr>
      <w:r>
        <w:t xml:space="preserve">considerada até dez vezes mais letal. A </w:t>
      </w:r>
      <w:proofErr w:type="spellStart"/>
      <w:r>
        <w:t>Mpox</w:t>
      </w:r>
      <w:proofErr w:type="spellEnd"/>
      <w:r>
        <w:t xml:space="preserve">, causada pelo vírus </w:t>
      </w:r>
      <w:proofErr w:type="spellStart"/>
      <w:r>
        <w:t>monkeypox</w:t>
      </w:r>
      <w:proofErr w:type="spellEnd"/>
      <w:r>
        <w:t>, apresenta histórico de ocorrência desde 1970, com surtos</w:t>
      </w:r>
    </w:p>
    <w:p w14:paraId="79ED80CE" w14:textId="77777777" w:rsidR="00404B18" w:rsidRDefault="00404B18" w:rsidP="00404B18">
      <w:pPr>
        <w:tabs>
          <w:tab w:val="left" w:pos="2918"/>
        </w:tabs>
      </w:pPr>
      <w:r>
        <w:t>fora de áreas endêmicas a partir de 2003. Em 2022, notificações em países sem relação com viagens a regiões endêmicas indicaram</w:t>
      </w:r>
    </w:p>
    <w:p w14:paraId="27736483" w14:textId="77777777" w:rsidR="00404B18" w:rsidRDefault="00404B18" w:rsidP="00404B18">
      <w:pPr>
        <w:tabs>
          <w:tab w:val="left" w:pos="2918"/>
        </w:tabs>
      </w:pPr>
      <w:r>
        <w:t>transmissão autóctone. O enfrentamento da doença é desafiador devido às incertezas sobre o comportamento do vírus em populações</w:t>
      </w:r>
    </w:p>
    <w:p w14:paraId="10E3AADE" w14:textId="77777777" w:rsidR="00404B18" w:rsidRDefault="00404B18" w:rsidP="00404B18">
      <w:pPr>
        <w:tabs>
          <w:tab w:val="left" w:pos="2918"/>
        </w:tabs>
      </w:pPr>
      <w:r>
        <w:t xml:space="preserve">sem contato prévio. De acordo com a Organização Panamericana de Saúde/ OPAS, a </w:t>
      </w:r>
      <w:proofErr w:type="spellStart"/>
      <w:r>
        <w:t>Mpox</w:t>
      </w:r>
      <w:proofErr w:type="spellEnd"/>
      <w:r>
        <w:t xml:space="preserve"> (anteriormente conhecida como varíola dos macacos) é uma</w:t>
      </w:r>
    </w:p>
    <w:p w14:paraId="091EBFBF" w14:textId="77777777" w:rsidR="00404B18" w:rsidRDefault="00404B18" w:rsidP="00404B18">
      <w:pPr>
        <w:tabs>
          <w:tab w:val="left" w:pos="2918"/>
        </w:tabs>
      </w:pPr>
      <w:r>
        <w:t xml:space="preserve">zoonose causada pelo vírus </w:t>
      </w:r>
      <w:proofErr w:type="spellStart"/>
      <w:r>
        <w:t>mpox</w:t>
      </w:r>
      <w:proofErr w:type="spellEnd"/>
      <w:r>
        <w:t xml:space="preserve">, do gênero </w:t>
      </w:r>
      <w:proofErr w:type="spellStart"/>
      <w:r>
        <w:t>Orthopoxvirus</w:t>
      </w:r>
      <w:proofErr w:type="spellEnd"/>
      <w:r>
        <w:t xml:space="preserve"> e da família </w:t>
      </w:r>
      <w:proofErr w:type="spellStart"/>
      <w:r>
        <w:t>Poxviridae</w:t>
      </w:r>
      <w:proofErr w:type="spellEnd"/>
      <w:r>
        <w:t>. Existem duas cepas geneticamente distintas do vírus</w:t>
      </w:r>
    </w:p>
    <w:p w14:paraId="7BAEC598" w14:textId="77777777" w:rsidR="00404B18" w:rsidRDefault="00404B18" w:rsidP="00404B18">
      <w:pPr>
        <w:tabs>
          <w:tab w:val="left" w:pos="2918"/>
        </w:tabs>
      </w:pPr>
      <w:r>
        <w:t xml:space="preserve">causador da </w:t>
      </w:r>
      <w:proofErr w:type="spellStart"/>
      <w:r>
        <w:t>mpox</w:t>
      </w:r>
      <w:proofErr w:type="spellEnd"/>
      <w:r>
        <w:t xml:space="preserve">: a cepa da Bacia do Congo (África Central) e a cepa da África Ocidental. As infecções humanas com a cepa da África Ocidental parecem causar doença menos grave em comparação com a cepa da bacia do Congo. É caracterizada por erupções cutâneas ou lesões na pele que geralmente se </w:t>
      </w:r>
      <w:r>
        <w:lastRenderedPageBreak/>
        <w:t>concentram no rosto, nas palmas das mãos e nas solas dos pés. Os principais sintomas são: Febre;</w:t>
      </w:r>
    </w:p>
    <w:p w14:paraId="7ADF55CC" w14:textId="77777777" w:rsidR="00404B18" w:rsidRDefault="00404B18" w:rsidP="00404B18">
      <w:pPr>
        <w:tabs>
          <w:tab w:val="left" w:pos="2918"/>
        </w:tabs>
      </w:pPr>
      <w:r>
        <w:t>Erupções cutâneas; Lesões na pele; Dor; Dores de cabeça; Ínguas; Calafrios e Exaustão. Apesar do nome popular, é importante destacar que os macacos não são reservatórios, ou seja, não são capazes de permitir que o vírus da varíola viva e se multiplique em seus organismos. Embora o reservatório seja desconhecido, os principais candidatos são pequenos</w:t>
      </w:r>
    </w:p>
    <w:p w14:paraId="64EB5D6E" w14:textId="77777777" w:rsidR="00404B18" w:rsidRDefault="00404B18" w:rsidP="00404B18">
      <w:pPr>
        <w:tabs>
          <w:tab w:val="left" w:pos="2918"/>
        </w:tabs>
      </w:pPr>
      <w:r>
        <w:t>roedores (como esquilos, por exemplo) nas florestas tropicais da África, principalmente na África Ocidental e Central. Os principais sintomas são: Febre; Erupções cutâneas; Lesões na pele; Dor; Dores de cabeça; Ínguas; Calafrios e Exaustão. A transmissão ocorre, predominantemente, por contato direto ou indireto com sangue, fluidos corporais, lesões cutâneas ou mucosas de</w:t>
      </w:r>
    </w:p>
    <w:p w14:paraId="346C3B93" w14:textId="77777777" w:rsidR="00404B18" w:rsidRDefault="00404B18" w:rsidP="00404B18">
      <w:pPr>
        <w:tabs>
          <w:tab w:val="left" w:pos="2918"/>
        </w:tabs>
      </w:pPr>
      <w:r>
        <w:t>animais infectados. No que se refere à transmissão entre seres humanos, esta pode ocorrer mediante contato direto com erupções</w:t>
      </w:r>
    </w:p>
    <w:p w14:paraId="37363E7C" w14:textId="77777777" w:rsidR="00404B18" w:rsidRDefault="00404B18" w:rsidP="00404B18">
      <w:pPr>
        <w:tabs>
          <w:tab w:val="left" w:pos="2918"/>
        </w:tabs>
      </w:pPr>
      <w:r>
        <w:t>cutâneas ou fluidos corporais, como secreções ou sangue provenientes das lesões, sendo as crostas particularmente infecciosas. Além</w:t>
      </w:r>
    </w:p>
    <w:p w14:paraId="3707EAD9" w14:textId="77777777" w:rsidR="00404B18" w:rsidRDefault="00404B18" w:rsidP="00404B18">
      <w:pPr>
        <w:tabs>
          <w:tab w:val="left" w:pos="2918"/>
        </w:tabs>
      </w:pPr>
      <w:r>
        <w:t>disso, objetos contaminados, tais como roupas, roupas de cama, toalhas e utensílios domésticos, podem atuar como vetores,</w:t>
      </w:r>
    </w:p>
    <w:p w14:paraId="45C94B77" w14:textId="77777777" w:rsidR="00404B18" w:rsidRDefault="00404B18" w:rsidP="00404B18">
      <w:pPr>
        <w:tabs>
          <w:tab w:val="left" w:pos="2918"/>
        </w:tabs>
      </w:pPr>
      <w:r>
        <w:t>favorecendo a disseminação do vírus. Cumpre destacar que a transmissão vertical também é possível, ocorrendo da gestante para o feto por meio da placenta, ou ainda do progenitor infectado para a criança durante ou após o nascimento, mediante contato pele a pele. Ressalta-se, contudo, que não há evidências conclusivas acerca da possibilidade de transmissão por indivíduos assintomáticos, o que</w:t>
      </w:r>
    </w:p>
    <w:p w14:paraId="5660FCC1" w14:textId="77777777" w:rsidR="00404B18" w:rsidRDefault="00404B18" w:rsidP="00404B18">
      <w:pPr>
        <w:tabs>
          <w:tab w:val="left" w:pos="2918"/>
        </w:tabs>
      </w:pPr>
      <w:r>
        <w:t>configura uma lacuna relevante no conhecimento científico sobre a doença. Diante dessas características, torna-se imprescindível a adoção de medidas preventivas rigorosas, incluindo higienização adequada,</w:t>
      </w:r>
    </w:p>
    <w:p w14:paraId="61CD60DC" w14:textId="77777777" w:rsidR="00404B18" w:rsidRDefault="00404B18" w:rsidP="00404B18">
      <w:pPr>
        <w:tabs>
          <w:tab w:val="left" w:pos="2918"/>
        </w:tabs>
      </w:pPr>
      <w:r>
        <w:t xml:space="preserve">isolamento de casos suspeitos ou confirmados e desinfecção de objetos potencialmente contaminados, a fim de mitigar os riscos de propagação do vírus e proteger a saúde pública. Atualmente, não existem tratamentos específicos direcionados à infecção pelo vírus causador da </w:t>
      </w:r>
      <w:proofErr w:type="spellStart"/>
      <w:r>
        <w:t>Mpox</w:t>
      </w:r>
      <w:proofErr w:type="spellEnd"/>
      <w:r>
        <w:t>. Em grande parte dos casos, os</w:t>
      </w:r>
    </w:p>
    <w:p w14:paraId="1F09D594" w14:textId="77777777" w:rsidR="00404B18" w:rsidRDefault="00404B18" w:rsidP="00404B18">
      <w:pPr>
        <w:tabs>
          <w:tab w:val="left" w:pos="2918"/>
        </w:tabs>
      </w:pPr>
      <w:r>
        <w:t>sintomas tendem a regredir espontaneamente, sem necessidade de intervenção medicamentosa específica. Nesse contexto, a atenção</w:t>
      </w:r>
    </w:p>
    <w:p w14:paraId="575359B1" w14:textId="77777777" w:rsidR="00404B18" w:rsidRDefault="00404B18" w:rsidP="00404B18">
      <w:pPr>
        <w:tabs>
          <w:tab w:val="left" w:pos="2918"/>
        </w:tabs>
      </w:pPr>
      <w:r>
        <w:t xml:space="preserve">clínica deve concentrar-se na otimização do cuidado sintomático, visando aliviar o desconforto, manejar possíveis complicações e prevenir sequelas de longo prazo. </w:t>
      </w:r>
      <w:r>
        <w:lastRenderedPageBreak/>
        <w:t>Entre as medidas recomendadas, destaca-se o cuidado com as lesões cutâneas, que devem ser mantidas secas sempre que possível ou protegidas com curativos úmidos, quando necessário, para evitar infecções secundárias. É fundamental evitar o contato direto com</w:t>
      </w:r>
    </w:p>
    <w:p w14:paraId="33A4CDB8" w14:textId="77777777" w:rsidR="00404B18" w:rsidRDefault="00404B18" w:rsidP="00404B18">
      <w:pPr>
        <w:tabs>
          <w:tab w:val="left" w:pos="2918"/>
        </w:tabs>
      </w:pPr>
      <w:r>
        <w:t>feridas localizadas na boca ou nos olhos, utilizando enxaguantes bucais e colírios adequados, desde que livres de corticoides, para prevenir agravamentos. Embora não haja terapias específicas amplamente disponíveis, um antiviral originalmente desenvolvido para o tratamento da varíola, o</w:t>
      </w:r>
    </w:p>
    <w:p w14:paraId="5474CD55" w14:textId="77777777" w:rsidR="00404B18" w:rsidRDefault="00404B18" w:rsidP="00404B18">
      <w:pPr>
        <w:tabs>
          <w:tab w:val="left" w:pos="2918"/>
        </w:tabs>
      </w:pPr>
      <w:proofErr w:type="spellStart"/>
      <w:r>
        <w:t>tecovirimat</w:t>
      </w:r>
      <w:proofErr w:type="spellEnd"/>
      <w:r>
        <w:t xml:space="preserve"> (comercializado como TPOXX), foi aprovado em janeiro de 2022 pela Agência Europeia de Medicamentos (EMA), para uso no</w:t>
      </w:r>
    </w:p>
    <w:p w14:paraId="1FF60647" w14:textId="77777777" w:rsidR="00404B18" w:rsidRDefault="00404B18" w:rsidP="00404B18">
      <w:pPr>
        <w:tabs>
          <w:tab w:val="left" w:pos="2918"/>
        </w:tabs>
      </w:pPr>
      <w:r>
        <w:t xml:space="preserve">tratamento da </w:t>
      </w:r>
      <w:proofErr w:type="spellStart"/>
      <w:r>
        <w:t>Mpox</w:t>
      </w:r>
      <w:proofErr w:type="spellEnd"/>
      <w:r>
        <w:t xml:space="preserve">, representando um avanço significativo no manejo clínico da doença em casos mais graves ou complicados. Assim, a abordagem terapêutica da </w:t>
      </w:r>
      <w:proofErr w:type="spellStart"/>
      <w:r>
        <w:t>Mpox</w:t>
      </w:r>
      <w:proofErr w:type="spellEnd"/>
      <w:r>
        <w:t xml:space="preserve"> deve pautar-se por cuidados de suporte, prevenção de complicações e utilização criteriosa de</w:t>
      </w:r>
    </w:p>
    <w:p w14:paraId="3C5BA7D0" w14:textId="77777777" w:rsidR="00404B18" w:rsidRDefault="00404B18" w:rsidP="00404B18">
      <w:pPr>
        <w:tabs>
          <w:tab w:val="left" w:pos="2918"/>
        </w:tabs>
      </w:pPr>
      <w:r>
        <w:t xml:space="preserve">recursos farmacológicos autorizados, garantindo a segurança do paciente e a efetividade do tratamento. Em 2022, mais de 10 mil casos confirmados ou prováveis foram notificados no Brasil. O pico de 1.051 casos foi registrado na Semana Epidemiológica (SE) 31/2022 (31/07/2022 a 06/08/2022) e a redução sustentada foi observada a partir da SE 34/2022 (21/08/2022 a 27/08/2022). Em 2023 houve estabilização dos casos confirmados ou prováveis no país, com registro de 853 casos confirmados e prováveis. Entre as Semanas Epidemiológicas 1 a 37 de 2024 foram notificados no Brasil 1.106 casos confirmados ou prováveis de </w:t>
      </w:r>
      <w:proofErr w:type="spellStart"/>
      <w:r>
        <w:t>mpox</w:t>
      </w:r>
      <w:proofErr w:type="spellEnd"/>
      <w:r>
        <w:t>, a região</w:t>
      </w:r>
    </w:p>
    <w:p w14:paraId="23419E1F" w14:textId="77777777" w:rsidR="00404B18" w:rsidRDefault="00404B18" w:rsidP="00404B18">
      <w:pPr>
        <w:tabs>
          <w:tab w:val="left" w:pos="2918"/>
        </w:tabs>
      </w:pPr>
      <w:r>
        <w:t>com maior notificação de casos foi a região Sudeste, registrando 80,7% (n = 893) dos casos nacionais. As Unidades Federativas que</w:t>
      </w:r>
    </w:p>
    <w:p w14:paraId="275BD0A6" w14:textId="77777777" w:rsidR="00404B18" w:rsidRDefault="00404B18" w:rsidP="00404B18">
      <w:pPr>
        <w:tabs>
          <w:tab w:val="left" w:pos="2918"/>
        </w:tabs>
      </w:pPr>
      <w:r>
        <w:t>registraram os maiores quantitativos de casos no período de 2024 foram: São Paulo (53,0%), Rio de Janeiro (22,2%), Minas Gerais (4,9%) e Bahia (3,7%). Não houve registro de casos confirmados ou prováveis em duas Unidades Federativas (Amapá e Piauí). Os cinco municípios que registraram maior quantitativos de casos confirmados e prováveis foram: São Paulo (36,7%), Rio de Janeiro</w:t>
      </w:r>
    </w:p>
    <w:p w14:paraId="08602B6D" w14:textId="77777777" w:rsidR="00404B18" w:rsidRDefault="00404B18" w:rsidP="00404B18">
      <w:pPr>
        <w:tabs>
          <w:tab w:val="left" w:pos="2918"/>
        </w:tabs>
      </w:pPr>
      <w:r>
        <w:t xml:space="preserve">(15,8%), Belo Horizonte (3,8%), Brasília (2,8%) e Salvador (2,6%). Dentre os atuais casos suspeitos de </w:t>
      </w:r>
      <w:proofErr w:type="spellStart"/>
      <w:r>
        <w:t>mpox</w:t>
      </w:r>
      <w:proofErr w:type="spellEnd"/>
      <w:r>
        <w:t xml:space="preserve"> no Brasil, o estado de São</w:t>
      </w:r>
    </w:p>
    <w:p w14:paraId="6C6EB422" w14:textId="77777777" w:rsidR="00404B18" w:rsidRDefault="00404B18" w:rsidP="00404B18">
      <w:pPr>
        <w:tabs>
          <w:tab w:val="left" w:pos="2918"/>
        </w:tabs>
      </w:pPr>
      <w:r>
        <w:t xml:space="preserve">Paulo concentra 40,3% das notificações. Foram 447 confirmados em 2025 (até junho) em alguns estados, sendo 14 registrados em Santa Catarina, sem ocorrência de óbitos e acometendo predominantemente homens (mais de 90%), na faixa etária de 18 a 39 anos, e alta prevalência inclusive em pessoas vivendo </w:t>
      </w:r>
      <w:r>
        <w:lastRenderedPageBreak/>
        <w:t>com HIV. O Boletim Epidemiológico da Secretaria Municipal de Saúde de São Paulo registrou</w:t>
      </w:r>
    </w:p>
    <w:p w14:paraId="6E017DC0" w14:textId="77777777" w:rsidR="00404B18" w:rsidRDefault="00404B18" w:rsidP="00404B18">
      <w:pPr>
        <w:tabs>
          <w:tab w:val="left" w:pos="2918"/>
        </w:tabs>
      </w:pPr>
      <w:r>
        <w:t xml:space="preserve">um total de 209 casos no município, no período de 01/01/2025 a 27/11/2025. A Organização Mundial da Saúde (OMS) emitiu alerta sobre casos da doença em países não endêmicos. Dessa forma, em 23 de maio deste ano foi ativada a Sala de Situação de </w:t>
      </w:r>
      <w:proofErr w:type="spellStart"/>
      <w:r>
        <w:t>Monkeypox</w:t>
      </w:r>
      <w:proofErr w:type="spellEnd"/>
      <w:r>
        <w:t>, na Secretaria de Vigilância em Saúde do Ministério da Saúde, para coordenar a</w:t>
      </w:r>
    </w:p>
    <w:p w14:paraId="4A422343" w14:textId="77777777" w:rsidR="00404B18" w:rsidRDefault="00404B18" w:rsidP="00404B18">
      <w:pPr>
        <w:tabs>
          <w:tab w:val="left" w:pos="2918"/>
        </w:tabs>
      </w:pPr>
      <w:r>
        <w:t xml:space="preserve">resposta aos casos prováveis da doença no país e organizar as ações relacionadas à vigilância e à assistência à saúde A Comissão de Saúde, Promoção Social, Trabalho e Mulher, no âmbito de sua competência, entende que a propositura é meritória e deve prosperar, eis que visa instituir medidas preventivas e coordenadas para o enfrentamento da </w:t>
      </w:r>
      <w:proofErr w:type="spellStart"/>
      <w:r>
        <w:t>Mpox</w:t>
      </w:r>
      <w:proofErr w:type="spellEnd"/>
      <w:r>
        <w:t>, diante de seu potencial de disseminação, gravidade clínica e impacto relevante na saúde pública, especialmente no contexto epidemiológico crescente observado no Município de São Paulo, sendo, portanto, Favorável nos termos do Substitutivo da Comissão de Constituição, Justiça e Legislação</w:t>
      </w:r>
    </w:p>
    <w:p w14:paraId="664FAC8F" w14:textId="77777777" w:rsidR="00404B18" w:rsidRDefault="00404B18" w:rsidP="00404B18">
      <w:pPr>
        <w:tabs>
          <w:tab w:val="left" w:pos="2918"/>
        </w:tabs>
      </w:pPr>
      <w:r>
        <w:t>Participativa, o parecer. Sala da Comissão de Saúde, Promoção Social, Trabalho e Mulher, em 19/08/2026. Ver. Ely Teruel (MDB) - Presidente Ver. Dra. Sandra Tadeu (PL) - Vice-presidente Ver. Adilson Amadeu (UNIÃO)</w:t>
      </w:r>
    </w:p>
    <w:p w14:paraId="199BE762" w14:textId="77777777" w:rsidR="00404B18" w:rsidRDefault="00404B18" w:rsidP="00404B18">
      <w:pPr>
        <w:tabs>
          <w:tab w:val="left" w:pos="2918"/>
        </w:tabs>
      </w:pPr>
      <w:r>
        <w:t>Ver. Amanda Paschoal (PSOL)</w:t>
      </w:r>
    </w:p>
    <w:p w14:paraId="0D0850A1" w14:textId="77777777" w:rsidR="00404B18" w:rsidRDefault="00404B18" w:rsidP="00404B18">
      <w:pPr>
        <w:tabs>
          <w:tab w:val="left" w:pos="2918"/>
        </w:tabs>
      </w:pPr>
      <w:r>
        <w:t>Ver. Roberto Tripoli (PV)</w:t>
      </w:r>
    </w:p>
    <w:p w14:paraId="1309E28B" w14:textId="77777777" w:rsidR="00404B18" w:rsidRDefault="00404B18" w:rsidP="00404B18">
      <w:pPr>
        <w:tabs>
          <w:tab w:val="left" w:pos="2918"/>
        </w:tabs>
      </w:pPr>
      <w:r>
        <w:t>Ver. Simone Ganem (PODE) - Relatoria</w:t>
      </w:r>
    </w:p>
    <w:p w14:paraId="7D44AEDB" w14:textId="77777777" w:rsidR="00404B18" w:rsidRDefault="00404B18" w:rsidP="00404B18">
      <w:pPr>
        <w:tabs>
          <w:tab w:val="left" w:pos="2918"/>
        </w:tabs>
      </w:pPr>
      <w:r>
        <w:t>PARECER N° 1161/2026 DA COMISSÃO DE SAÚDE, PROMOÇÃO SOCIAL, TRABALHO E MULHER SOBRE O PROJETO DE LEI N° 350 / 2025. O presente projeto de lei, de autoria dos nobres Vereadores Ana Carolina Oliveira e André Santos estabelece diretrizes para a Política Municipal de Inclusão de Pessoas com Nanismo. A Comissão de Constituição, Justiça e Legislação Participativa emitiu parecer de legalidade com apresentação de Substitutivo, a fim de</w:t>
      </w:r>
    </w:p>
    <w:p w14:paraId="4EF508E2" w14:textId="77777777" w:rsidR="00404B18" w:rsidRDefault="00404B18" w:rsidP="00404B18">
      <w:pPr>
        <w:tabs>
          <w:tab w:val="left" w:pos="2918"/>
        </w:tabs>
      </w:pPr>
      <w:r>
        <w:t>adaptar o texto às regras de técnica legislativa elencadas na Lei Complementar n° 95, de 26 de fevereiro de 1998. A Comissão de Administração Pública manifestou parecer favorável ao substitutivo apresentado pela Comissão de Constituição, Justiça e</w:t>
      </w:r>
    </w:p>
    <w:p w14:paraId="2962B3B9" w14:textId="77777777" w:rsidR="00404B18" w:rsidRDefault="00404B18" w:rsidP="00404B18">
      <w:pPr>
        <w:tabs>
          <w:tab w:val="left" w:pos="2918"/>
        </w:tabs>
      </w:pPr>
      <w:r>
        <w:t>Legislação Participativa. De acordo com os autores, o projeto institui diretrizes para Política Municipal de Inclusão de Pessoas com Nanismo.na Cidade de São</w:t>
      </w:r>
    </w:p>
    <w:p w14:paraId="4A959015" w14:textId="77777777" w:rsidR="00404B18" w:rsidRDefault="00404B18" w:rsidP="00404B18">
      <w:pPr>
        <w:tabs>
          <w:tab w:val="left" w:pos="2918"/>
        </w:tabs>
      </w:pPr>
      <w:r>
        <w:t xml:space="preserve">Paulo com a intenção de melhorar a qualidade de vida das pessoas com nanismo. Esse é um distúrbio que provoca o baixo crescimento de seus portadores. É </w:t>
      </w:r>
      <w:r>
        <w:lastRenderedPageBreak/>
        <w:t xml:space="preserve">considerada uma deficiência física e essas limitações que podem ocasionar adversidades de diferentes naturezas, dentre as quais se incluem problemas de saúde, preconceito, falta de acessibilidade, limitações de ordem </w:t>
      </w:r>
      <w:proofErr w:type="gramStart"/>
      <w:r>
        <w:t>física, etc.</w:t>
      </w:r>
      <w:proofErr w:type="gramEnd"/>
      <w:r>
        <w:t xml:space="preserve"> Nesse estão incluídos projetos de inclusão social nas diversas áreas da sociedade, abrangendo a educação, a saúde, o trabalho, a</w:t>
      </w:r>
    </w:p>
    <w:p w14:paraId="66C5413B" w14:textId="77777777" w:rsidR="00404B18" w:rsidRDefault="00404B18" w:rsidP="00404B18">
      <w:pPr>
        <w:tabs>
          <w:tab w:val="left" w:pos="2918"/>
        </w:tabs>
      </w:pPr>
      <w:r>
        <w:t>cultura, a acessibilidade, o urbanismo, o esporte e o lazer entre outras. As principais diretrizes são:</w:t>
      </w:r>
    </w:p>
    <w:p w14:paraId="386458D7" w14:textId="77777777" w:rsidR="00404B18" w:rsidRDefault="00404B18" w:rsidP="00404B18">
      <w:pPr>
        <w:tabs>
          <w:tab w:val="left" w:pos="2918"/>
        </w:tabs>
      </w:pPr>
      <w:r>
        <w:t xml:space="preserve">I - </w:t>
      </w:r>
      <w:proofErr w:type="gramStart"/>
      <w:r>
        <w:t>desenvolver</w:t>
      </w:r>
      <w:proofErr w:type="gramEnd"/>
      <w:r>
        <w:t xml:space="preserve"> campanhas educativas contra o preconceito às pessoas com nanismo, buscando conscientizar a população de que o nanismo é um fator que não impede a perfeita convivência de seus portadores com a sociedade;</w:t>
      </w:r>
    </w:p>
    <w:p w14:paraId="7CB0F2DD" w14:textId="77777777" w:rsidR="00404B18" w:rsidRDefault="00404B18" w:rsidP="00404B18">
      <w:pPr>
        <w:tabs>
          <w:tab w:val="left" w:pos="2918"/>
        </w:tabs>
      </w:pPr>
      <w:r>
        <w:t xml:space="preserve">II - </w:t>
      </w:r>
      <w:proofErr w:type="gramStart"/>
      <w:r>
        <w:t>incluir</w:t>
      </w:r>
      <w:proofErr w:type="gramEnd"/>
      <w:r>
        <w:t xml:space="preserve"> o nanismo como tema de debates e palestras com pais e alunos nas escolas, faculdades, empresas, igrejas, abertura de Shows e nos locais onde ocorra a possibilidade destes eventos;</w:t>
      </w:r>
    </w:p>
    <w:p w14:paraId="2B62026B" w14:textId="77777777" w:rsidR="00404B18" w:rsidRDefault="00404B18" w:rsidP="00404B18">
      <w:pPr>
        <w:tabs>
          <w:tab w:val="left" w:pos="2918"/>
        </w:tabs>
      </w:pPr>
      <w:r>
        <w:t>III - disponibilizar testes e exames que permitam a identificação precoce do nanismo na rede pública do Município;</w:t>
      </w:r>
    </w:p>
    <w:p w14:paraId="6A039FB4" w14:textId="77777777" w:rsidR="00404B18" w:rsidRDefault="00404B18" w:rsidP="00404B18">
      <w:pPr>
        <w:tabs>
          <w:tab w:val="left" w:pos="2918"/>
        </w:tabs>
      </w:pPr>
      <w:r>
        <w:t xml:space="preserve">IV - </w:t>
      </w:r>
      <w:proofErr w:type="gramStart"/>
      <w:r>
        <w:t>divulgar</w:t>
      </w:r>
      <w:proofErr w:type="gramEnd"/>
      <w:r>
        <w:t xml:space="preserve"> os diversos mecanismos de identificação precoce do nanismo em suas diversas causas;</w:t>
      </w:r>
    </w:p>
    <w:p w14:paraId="2812BE9E" w14:textId="77777777" w:rsidR="00404B18" w:rsidRDefault="00404B18" w:rsidP="00404B18">
      <w:pPr>
        <w:tabs>
          <w:tab w:val="left" w:pos="2918"/>
        </w:tabs>
      </w:pPr>
      <w:r>
        <w:t xml:space="preserve">V - </w:t>
      </w:r>
      <w:proofErr w:type="gramStart"/>
      <w:r>
        <w:t>oferecer</w:t>
      </w:r>
      <w:proofErr w:type="gramEnd"/>
      <w:r>
        <w:t xml:space="preserve"> junto a rede Municipal todo atendimento, medicamentos e acompanhamento médico que se fará necessário;</w:t>
      </w:r>
    </w:p>
    <w:p w14:paraId="72278165" w14:textId="77777777" w:rsidR="00404B18" w:rsidRDefault="00404B18" w:rsidP="00404B18">
      <w:pPr>
        <w:tabs>
          <w:tab w:val="left" w:pos="2918"/>
        </w:tabs>
      </w:pPr>
      <w:r>
        <w:t xml:space="preserve">VI - </w:t>
      </w:r>
      <w:proofErr w:type="gramStart"/>
      <w:r>
        <w:t>proporcionar</w:t>
      </w:r>
      <w:proofErr w:type="gramEnd"/>
      <w:r>
        <w:t xml:space="preserve"> tratamentos que permitam amenizar os efeitos do nanismo, principalmente com sua identificação precoce;</w:t>
      </w:r>
    </w:p>
    <w:p w14:paraId="709C0343" w14:textId="77777777" w:rsidR="00404B18" w:rsidRDefault="00404B18" w:rsidP="00404B18">
      <w:pPr>
        <w:tabs>
          <w:tab w:val="left" w:pos="2918"/>
        </w:tabs>
      </w:pPr>
      <w:r>
        <w:t>VII - criar o conceito de nanismo como especialização nas unidades públicas de saúde do município, propiciando o seu melhor atendimento;</w:t>
      </w:r>
    </w:p>
    <w:p w14:paraId="2C36200C" w14:textId="77777777" w:rsidR="00404B18" w:rsidRDefault="00404B18" w:rsidP="00404B18">
      <w:pPr>
        <w:tabs>
          <w:tab w:val="left" w:pos="2918"/>
        </w:tabs>
      </w:pPr>
      <w:r>
        <w:t>VIII - desenvolver equipamentos urbanos que sejam mais adequados para o uso dessas pessoas, incluindo a adição de vasos sanitários e pias apropriados em banheiros públicos;</w:t>
      </w:r>
    </w:p>
    <w:p w14:paraId="337825D5" w14:textId="77777777" w:rsidR="00404B18" w:rsidRDefault="00404B18" w:rsidP="00404B18">
      <w:pPr>
        <w:tabs>
          <w:tab w:val="left" w:pos="2918"/>
        </w:tabs>
      </w:pPr>
      <w:r>
        <w:t xml:space="preserve">IX - </w:t>
      </w:r>
      <w:proofErr w:type="gramStart"/>
      <w:r>
        <w:t>incluir</w:t>
      </w:r>
      <w:proofErr w:type="gramEnd"/>
      <w:r>
        <w:t xml:space="preserve"> as pessoas com nanismo como destinatários dos projetos de acessibilidade;</w:t>
      </w:r>
    </w:p>
    <w:p w14:paraId="23501C12" w14:textId="77777777" w:rsidR="00404B18" w:rsidRDefault="00404B18" w:rsidP="00404B18">
      <w:pPr>
        <w:tabs>
          <w:tab w:val="left" w:pos="2918"/>
        </w:tabs>
      </w:pPr>
      <w:r>
        <w:t xml:space="preserve">X - </w:t>
      </w:r>
      <w:proofErr w:type="gramStart"/>
      <w:r>
        <w:t>estabelecer</w:t>
      </w:r>
      <w:proofErr w:type="gramEnd"/>
      <w:r>
        <w:t xml:space="preserve"> normas para a adequação de equipamentos nos ambientes urbanos, nas habitações, no comércio, nos prédios, nos meios de transportes e em todos os lugares, que facilitem o seu uso por pessoas com nanismo;</w:t>
      </w:r>
    </w:p>
    <w:p w14:paraId="5351A126" w14:textId="77777777" w:rsidR="00404B18" w:rsidRDefault="00404B18" w:rsidP="00404B18">
      <w:pPr>
        <w:tabs>
          <w:tab w:val="left" w:pos="2918"/>
        </w:tabs>
      </w:pPr>
      <w:r>
        <w:t>XI - estimular e criar mecanismos de incentivo à contratação dessas pessoas para o trabalho pelas empresas;</w:t>
      </w:r>
    </w:p>
    <w:p w14:paraId="7DA01AFF" w14:textId="77777777" w:rsidR="00404B18" w:rsidRDefault="00404B18" w:rsidP="00404B18">
      <w:pPr>
        <w:tabs>
          <w:tab w:val="left" w:pos="2918"/>
        </w:tabs>
      </w:pPr>
      <w:r>
        <w:lastRenderedPageBreak/>
        <w:t>XII - criar projetos de esportes e lazer para as pessoas com nanismo, XIII - fomentar parcerias pública privada. O nanismo é um transtorno que se caracteriza pela deficiência no crescimento, resultando numa pessoa com baixa estatura, se</w:t>
      </w:r>
    </w:p>
    <w:p w14:paraId="0238B3EF" w14:textId="77777777" w:rsidR="00404B18" w:rsidRDefault="00404B18" w:rsidP="00404B18">
      <w:pPr>
        <w:tabs>
          <w:tab w:val="left" w:pos="2918"/>
        </w:tabs>
      </w:pPr>
      <w:r>
        <w:t>comparada com a média da população de mesma idade e sexo. Manifesta-se, principalmente, a partir dos dois anos de idade, impedindo</w:t>
      </w:r>
    </w:p>
    <w:p w14:paraId="545B7EB6" w14:textId="77777777" w:rsidR="00404B18" w:rsidRDefault="00404B18" w:rsidP="00404B18">
      <w:pPr>
        <w:tabs>
          <w:tab w:val="left" w:pos="2918"/>
        </w:tabs>
      </w:pPr>
      <w:r>
        <w:t>o crescimento e o desenvolvimento durante a infância e a adolescência. São mais de 200 condições diferentes que podem causar alterações no ritmo do crescimento. Uma das mais frequentes é o nanismo, que pode ser classificado em duas categorias distintas: Nanismo hipofisário ou pituitário que é causado por distúrbios metabólicos e hormonais e Acondroplasia que é considerada uma doença</w:t>
      </w:r>
    </w:p>
    <w:p w14:paraId="5518F05F" w14:textId="77777777" w:rsidR="00404B18" w:rsidRDefault="00404B18" w:rsidP="00404B18">
      <w:pPr>
        <w:tabs>
          <w:tab w:val="left" w:pos="2918"/>
        </w:tabs>
      </w:pPr>
      <w:r>
        <w:t>rara. Baixa estatura e algum atraso no desenvolvimento sexual são dos poucos sinais que as pessoas afetadas pelo nanismo hipofisário proporcional costumam apresentar. Nos indivíduos com acondroplasia, os sintomas típicos são: baixa estatura; pernas e braços curtos; cabeça grande (macrocefalia), com</w:t>
      </w:r>
    </w:p>
    <w:p w14:paraId="38CA5EB4" w14:textId="77777777" w:rsidR="00404B18" w:rsidRDefault="00404B18" w:rsidP="00404B18">
      <w:pPr>
        <w:tabs>
          <w:tab w:val="left" w:pos="2918"/>
        </w:tabs>
      </w:pPr>
      <w:r>
        <w:t>testa proeminente e achatamento na parte de cima do nariz; dedos curtos e grossos; mãos pequenas; pés planos, pequenos e largos; arqueamento das pernas; mobilidade comprometida na articulação do cotovelo; cifose e lordose (problemas de curvatura na coluna</w:t>
      </w:r>
    </w:p>
    <w:p w14:paraId="469FF256" w14:textId="77777777" w:rsidR="00404B18" w:rsidRDefault="00404B18" w:rsidP="00404B18">
      <w:pPr>
        <w:tabs>
          <w:tab w:val="left" w:pos="2918"/>
        </w:tabs>
      </w:pPr>
      <w:r>
        <w:t>vertebral) acentuadas; deslocamento da mandíbula para a frente; desalinhamento dos dentes; demora para começar a caminhar, o que pode ocorrer entre os 18 e os 24 meses de idade. Os homens adultos chegam a uma altura máxima de 1,45 metro e as mulheres não alcançam 1,40 metro, em média. Pessoas com algum</w:t>
      </w:r>
    </w:p>
    <w:p w14:paraId="0120AA02" w14:textId="77777777" w:rsidR="00404B18" w:rsidRDefault="00404B18" w:rsidP="00404B18">
      <w:pPr>
        <w:tabs>
          <w:tab w:val="left" w:pos="2918"/>
        </w:tabs>
      </w:pPr>
      <w:r>
        <w:t>tipo de nanismo podem ter uma ligeira redução na esperança média de vida, em comparação com a população geral, potencialmente devido a doenças cardiovasculares. Esses sinais podem aparecer em níveis e graus diferentes nas pessoas que têm o transtorno. Quando a baixa estatura está correlacionada com a ausência ou a pequena produção do hormônio do crescimento (GH), o tratamento</w:t>
      </w:r>
    </w:p>
    <w:p w14:paraId="5D26BD41" w14:textId="77777777" w:rsidR="00404B18" w:rsidRDefault="00404B18" w:rsidP="00404B18">
      <w:pPr>
        <w:tabs>
          <w:tab w:val="left" w:pos="2918"/>
        </w:tabs>
      </w:pPr>
      <w:r>
        <w:t>com a administração desse hormônio já demonstrou produzir efeitos benéficos. Esse pode estender-se por vários anos e deve ser acompanhado de perto por um médico especialista na área, porque podem ocorrer reações adversas ao uso do medicamento.</w:t>
      </w:r>
    </w:p>
    <w:p w14:paraId="32375F1A" w14:textId="77777777" w:rsidR="00404B18" w:rsidRDefault="00404B18" w:rsidP="00404B18">
      <w:pPr>
        <w:tabs>
          <w:tab w:val="left" w:pos="2918"/>
        </w:tabs>
      </w:pPr>
      <w:r>
        <w:t>Para a acondroplasia ainda não existe um tratamento específico que possibilite reverter o quadro, porém, a atenção a essa enfermidade deve ser multidisciplinar e os cuidados precoces são essenciais. No Brasil. o Sistema Único de Saúde (SUS) essa condição é reconhecida como deficiência física desde 2004. É importante oferecer</w:t>
      </w:r>
    </w:p>
    <w:p w14:paraId="11482A63" w14:textId="77777777" w:rsidR="00404B18" w:rsidRDefault="00404B18" w:rsidP="00404B18">
      <w:pPr>
        <w:tabs>
          <w:tab w:val="left" w:pos="2918"/>
        </w:tabs>
      </w:pPr>
      <w:r>
        <w:lastRenderedPageBreak/>
        <w:t>inclusão, evitando a discriminação, com uma acessibilidade adequada para as pessoas com nanismo. Por se tratar de fatores hormonais e genéticos, a condição exige diversos cuidados e atenção multiprofissional da saúde.</w:t>
      </w:r>
    </w:p>
    <w:p w14:paraId="188EC573" w14:textId="77777777" w:rsidR="00404B18" w:rsidRDefault="00404B18" w:rsidP="00404B18">
      <w:pPr>
        <w:tabs>
          <w:tab w:val="left" w:pos="2918"/>
        </w:tabs>
      </w:pPr>
      <w:r>
        <w:t>No SUS a pessoa deve receber atenção global e o seu diagnóstico correto no momento oportuno é fundamental para estabelecer os</w:t>
      </w:r>
    </w:p>
    <w:p w14:paraId="38398A12" w14:textId="77777777" w:rsidR="00404B18" w:rsidRDefault="00404B18" w:rsidP="00404B18">
      <w:pPr>
        <w:tabs>
          <w:tab w:val="left" w:pos="2918"/>
        </w:tabs>
      </w:pPr>
      <w:r>
        <w:t>cuidados adequados com sua singularidade. As alterações na morfologia corporal, causada pelo nanismo faz com que a pessoa precise de cirurgias para corrigir o posicionamento de alguns de seus ossos ou aumentar o tamanho de seus membros. Já os distúrbios hormonais podem ser tratados com terapia de hormônio do crescimento já na infância. O hormônio do crescimento integra a lista de medicamentos de alto custo que são distribuídos gratuitamente pelo SUS, o Sistema Único de Saúde, desde que a pessoa comprove que</w:t>
      </w:r>
    </w:p>
    <w:p w14:paraId="12729E59" w14:textId="77777777" w:rsidR="00404B18" w:rsidRDefault="00404B18" w:rsidP="00404B18">
      <w:pPr>
        <w:tabs>
          <w:tab w:val="left" w:pos="2918"/>
        </w:tabs>
      </w:pPr>
      <w:r>
        <w:t xml:space="preserve">tem indicações médicas precisas para a reposição hormonal. O acompanhamento dos indivíduos com diferentes formas de nanismo deve ser multidisciplinar, envolvendo pediatras, endocrinologistas, ortopedistas, fisioterapeutas, psicólogos, </w:t>
      </w:r>
      <w:proofErr w:type="gramStart"/>
      <w:r>
        <w:t>dentistas, etc.</w:t>
      </w:r>
      <w:proofErr w:type="gramEnd"/>
      <w:r>
        <w:t>;</w:t>
      </w:r>
    </w:p>
    <w:p w14:paraId="52316C96" w14:textId="77777777" w:rsidR="00404B18" w:rsidRDefault="00404B18" w:rsidP="00404B18">
      <w:pPr>
        <w:tabs>
          <w:tab w:val="left" w:pos="2918"/>
        </w:tabs>
      </w:pPr>
      <w:r>
        <w:t>O aconselhamento genético é um recurso indicado para os casais que pretendem ter filhos e têm história de acondroplasia na família. No entanto, o fato de existirem mutações genéticas espontâneas torna muito difícil falar em prevenção absoluta do transtorno. O nanismo pode afetar mulheres e homens indistintamente que, salvo raríssimas exceções, mantêm a capacidade intelectual preservada e podem levar vida normal e de boa qualidade. Em muitas situações, porém, as pessoas com nanismo são obrigadas a lidar com o preconceito e a discriminação social e a contornar as dificuldades de acesso em ambientes preparados para receber pessoas mais altas. Por isso, muitas vezes, precisam de ajuda para</w:t>
      </w:r>
    </w:p>
    <w:p w14:paraId="4D1F8F6E" w14:textId="77777777" w:rsidR="00404B18" w:rsidRDefault="00404B18" w:rsidP="00404B18">
      <w:pPr>
        <w:tabs>
          <w:tab w:val="left" w:pos="2918"/>
        </w:tabs>
      </w:pPr>
      <w:r>
        <w:t>realizar tarefas simples, como utilizar o caixa eletrônico ou o transporte público, por exemplo.</w:t>
      </w:r>
    </w:p>
    <w:p w14:paraId="4ECE601A" w14:textId="77777777" w:rsidR="00404B18" w:rsidRDefault="00404B18" w:rsidP="00404B18">
      <w:pPr>
        <w:tabs>
          <w:tab w:val="left" w:pos="2918"/>
        </w:tabs>
      </w:pPr>
      <w:r>
        <w:t>Pessoas com nanismo desproporcional, típico da acondroplasia, eram chamadas de anões, palavra carregada de conotação depreciativa, que prejudica sobremaneira sua autoimagem e sua socialização. O dia 25 de outubro é dedicado à informação e conscientização sobre o nanismo em razão da instituição de legislação federal nº 13472</w:t>
      </w:r>
    </w:p>
    <w:p w14:paraId="5E49A9EC" w14:textId="77777777" w:rsidR="00404B18" w:rsidRDefault="00404B18" w:rsidP="00404B18">
      <w:pPr>
        <w:tabs>
          <w:tab w:val="left" w:pos="2918"/>
        </w:tabs>
      </w:pPr>
      <w:r>
        <w:t xml:space="preserve">de 31 de outubro de 2017. A incidência da acondroplasia é estimada em 1 a cada 25000 crianças nascidas. Caso um dos pais seja portador dessa condição, a probabilidade de o filho também nascer com acondroplasia é de 50%. Entretanto, 80% dos casos de </w:t>
      </w:r>
      <w:proofErr w:type="spellStart"/>
      <w:r>
        <w:t>acondroplaia</w:t>
      </w:r>
      <w:proofErr w:type="spellEnd"/>
      <w:r>
        <w:t xml:space="preserve"> decorrem de mutações novas. A visibilidade, a inclusão e os direitos são as principais demandas levantadas por quem vive com </w:t>
      </w:r>
      <w:r>
        <w:lastRenderedPageBreak/>
        <w:t>nanismo. Além dos desafios já citados, o preconceito e o bullying são muito frequentes na vida de quem possui a condição. E a informação é a melhor forma de combater essas grandes questões na sociedade. O Parecer da Comissão de Administração Pública menciona o Decreto Federal nº 3298. De 20 de dezembro de 1999, que regulamentou a</w:t>
      </w:r>
    </w:p>
    <w:p w14:paraId="4B08B2D4" w14:textId="77777777" w:rsidR="00404B18" w:rsidRDefault="00404B18" w:rsidP="00404B18">
      <w:pPr>
        <w:tabs>
          <w:tab w:val="left" w:pos="2918"/>
        </w:tabs>
      </w:pPr>
      <w:r>
        <w:t>Lei Federal no 7.853, de 24 de outubro de 1989, referente à Política Nacional para a Integração da Pessoa Portadora de Deficiência, que</w:t>
      </w:r>
    </w:p>
    <w:p w14:paraId="27C13EAB" w14:textId="77777777" w:rsidR="00404B18" w:rsidRDefault="00404B18" w:rsidP="00404B18">
      <w:pPr>
        <w:tabs>
          <w:tab w:val="left" w:pos="2918"/>
        </w:tabs>
      </w:pPr>
      <w:r>
        <w:t>consolida as normas de proteção, e dá outras providências, que em seu artigo 4° considerou como deficiência física o nanismo. Cabe destacar o que está previsto na Lei Brasileira de Inclusão, Lei nº 13.146 de 6 de julho de 2015, Estatuto da Pessoa com Deficiência que no artigo 1º instituí a Lei Brasileira de Inclusão da Pessoa com Deficiência (Estatuto da Pessoa com Deficiência), destinada a</w:t>
      </w:r>
    </w:p>
    <w:p w14:paraId="3B8DDCD2" w14:textId="77777777" w:rsidR="00404B18" w:rsidRDefault="00404B18" w:rsidP="00404B18">
      <w:pPr>
        <w:tabs>
          <w:tab w:val="left" w:pos="2918"/>
        </w:tabs>
      </w:pPr>
      <w:r>
        <w:t>assegurar e a promover, em condições de igualdade, o exercício dos direitos e das liberdades fundamentais por pessoa com deficiência,</w:t>
      </w:r>
    </w:p>
    <w:p w14:paraId="4C5D2EB1" w14:textId="77777777" w:rsidR="00404B18" w:rsidRDefault="00404B18" w:rsidP="00404B18">
      <w:pPr>
        <w:tabs>
          <w:tab w:val="left" w:pos="2918"/>
        </w:tabs>
      </w:pPr>
      <w:r>
        <w:t>visando à sua inclusão social e cidadania. Todas as pessoas com deficiência ou não tem aspirações, buscam ser respeitas em seus direitos, esperam contar com os meios de</w:t>
      </w:r>
    </w:p>
    <w:p w14:paraId="2DD5244D" w14:textId="77777777" w:rsidR="00404B18" w:rsidRDefault="00404B18" w:rsidP="00404B18">
      <w:pPr>
        <w:tabs>
          <w:tab w:val="left" w:pos="2918"/>
        </w:tabs>
      </w:pPr>
      <w:r>
        <w:t>atendimento adequados às suas necessidades, são consumidores de serviços, contribuintes economicamente ativos que buscam não apenas igualdade de tratamento, como também, atitudes de acolhimento e respeito às suas diferenças para o exercício pleno de sua</w:t>
      </w:r>
    </w:p>
    <w:p w14:paraId="64DE7C4E" w14:textId="77777777" w:rsidR="00404B18" w:rsidRDefault="00404B18" w:rsidP="00404B18">
      <w:pPr>
        <w:tabs>
          <w:tab w:val="left" w:pos="2918"/>
        </w:tabs>
      </w:pPr>
      <w:r>
        <w:t>cidadania. A desigualdade pela deficiência ou outras formas de desigualdade não se apresentam apenas pelas características físicas e/ou mentais, mas se constituem nas várias barreiras físicas, econômicas, políticas e sociais que as pessoas enfrentam na vida em sociedade. Diante do exposto, a Comissão de Saúde, Promoção Social, Trabalho e Mulher, no âmbito de sua competência, entende que a propositura é meritória e deve prosperar, sendo, portanto, o parecer favorável ao substitutivo apresentado pela Comissão de Constituição, Justiça e</w:t>
      </w:r>
    </w:p>
    <w:p w14:paraId="4653B07A" w14:textId="77777777" w:rsidR="00404B18" w:rsidRDefault="00404B18" w:rsidP="00404B18">
      <w:pPr>
        <w:tabs>
          <w:tab w:val="left" w:pos="2918"/>
        </w:tabs>
      </w:pPr>
      <w:r>
        <w:t>Legislação Participativa. Sala da Comissão de Saúde, Promoção Social, Trabalho e Mulher, em 19/08/2026. Ver. Ely Teruel (MDB) - Presidente Ver. Dra. Sandra Tadeu (PL) - Vice-presidente Ver. Adilson Amadeu (UNIÃO)</w:t>
      </w:r>
    </w:p>
    <w:p w14:paraId="13A600A1" w14:textId="77777777" w:rsidR="00404B18" w:rsidRDefault="00404B18" w:rsidP="00404B18">
      <w:pPr>
        <w:tabs>
          <w:tab w:val="left" w:pos="2918"/>
        </w:tabs>
      </w:pPr>
      <w:r>
        <w:t>Ver. Amanda Paschoal (PSOL) - Relatoria Ver. Roberto Tripoli (PV)</w:t>
      </w:r>
    </w:p>
    <w:p w14:paraId="6272DED4" w14:textId="77777777" w:rsidR="00404B18" w:rsidRDefault="00404B18" w:rsidP="00404B18">
      <w:pPr>
        <w:tabs>
          <w:tab w:val="left" w:pos="2918"/>
        </w:tabs>
      </w:pPr>
      <w:r>
        <w:t>Ver. Simone Ganem (PODE)</w:t>
      </w:r>
    </w:p>
    <w:p w14:paraId="6BDB49A6" w14:textId="77777777" w:rsidR="00404B18" w:rsidRDefault="00404B18" w:rsidP="00404B18">
      <w:pPr>
        <w:tabs>
          <w:tab w:val="left" w:pos="2918"/>
        </w:tabs>
      </w:pPr>
      <w:r>
        <w:t xml:space="preserve">PARECER N° 1162/2026 DA COMISSÃO DE SAÚDE, PROMOÇÃO SOCIAL, TRABALHO E MULHER SOBRE O PROJETO DE LEI Nº 536/2025. O presente projeto, de autoria do nobre Vereador Gilberto Nascimento, estabelece a obrigatoriedade </w:t>
      </w:r>
      <w:r>
        <w:lastRenderedPageBreak/>
        <w:t>de instalação de sistemas de monitoramento por câmeras de vigilância, para verificação de frequência e controle de ocupação nos centros de acolhida do Município de São Paulo, e dá outras providências. A Comissão de Constituição, Justiça e Legislação Participativa exarou parecer pela legalidade com substitutivo a fim de que a Municipalidade tenha liberdade para escolher a forma de controle que deseja implementar, não se incorrendo no risco de invadir a</w:t>
      </w:r>
    </w:p>
    <w:p w14:paraId="56A54EF4" w14:textId="77777777" w:rsidR="00404B18" w:rsidRDefault="00404B18" w:rsidP="00404B18">
      <w:pPr>
        <w:tabs>
          <w:tab w:val="left" w:pos="2918"/>
        </w:tabs>
      </w:pPr>
      <w:r>
        <w:t>liberdade administrativa do Poder Executivo, com destaque para a mudança concernente à ementa, pois era o único momento em que a propositura original fazia menção à instalação de câmeras. A Comissão de Administração Pública emitiu parecer favorável ao substitutivo de Comissão de Constituição, Justiça e Legislação</w:t>
      </w:r>
    </w:p>
    <w:p w14:paraId="1ED2C4FA" w14:textId="77777777" w:rsidR="00404B18" w:rsidRDefault="00404B18" w:rsidP="00404B18">
      <w:pPr>
        <w:tabs>
          <w:tab w:val="left" w:pos="2918"/>
        </w:tabs>
      </w:pPr>
      <w:r>
        <w:t>Participativa. A proposta torna obrigatória a instalação de sistemas de monitoramento nos centros de acolhida do Município de São Paulo, destinados ao controle da frequência dos usuários e da ocupação das vagas. Os sistemas deverão registrar automaticamente entradas e saídas, com</w:t>
      </w:r>
    </w:p>
    <w:p w14:paraId="16DB7899" w14:textId="77777777" w:rsidR="00404B18" w:rsidRDefault="00404B18" w:rsidP="00404B18">
      <w:pPr>
        <w:tabs>
          <w:tab w:val="left" w:pos="2918"/>
        </w:tabs>
      </w:pPr>
      <w:r>
        <w:t>data e horário, permitir o acompanhamento em tempo real das vagas ocupadas e disponíveis e contribuir para a gestão, o planejamento e a segurança de usuários e profissionais. Os dados deverão ser armazenados de forma segura por, no máximo, 30 dias, com acesso</w:t>
      </w:r>
    </w:p>
    <w:p w14:paraId="7CAE4DE2" w14:textId="77777777" w:rsidR="00404B18" w:rsidRDefault="00404B18" w:rsidP="00404B18">
      <w:pPr>
        <w:tabs>
          <w:tab w:val="left" w:pos="2918"/>
        </w:tabs>
      </w:pPr>
      <w:r>
        <w:t>restrito a profissionais autorizados, e os sistemas deverão ser compatíveis com os mecanismos de gestão administrativa dos centros. A</w:t>
      </w:r>
    </w:p>
    <w:p w14:paraId="45EEE22B" w14:textId="77777777" w:rsidR="00404B18" w:rsidRDefault="00404B18" w:rsidP="00404B18">
      <w:pPr>
        <w:tabs>
          <w:tab w:val="left" w:pos="2918"/>
        </w:tabs>
      </w:pPr>
      <w:r>
        <w:t>lei deverá ser regulamentada pelo Poder Executivo no prazo de 60 dias após sua publicação. Segundo a justificativa, a proposta busca aprimorar a gestão dos centros de acolhida, promovendo maior eficiência no uso dos recursos e melhor atendimento às necessidades dos usuários. O monitoramento permitirá acompanhar a movimentação de pessoas e a ocupação das vagas em tempo real, facilitando a identificação de superlotação ou de vagas disponíveis, além de aumentar a segurança de usuários e profissionais. Os dados coletados deverão observar as regras da Lei Geral de Proteção de Dados (LGPD), garantindo tratamento seguro e transparente. A iniciativa, inspirada em práticas adotadas em outras cidades, como Porto Alegre, pretende proporcionar maior</w:t>
      </w:r>
    </w:p>
    <w:p w14:paraId="78676A41" w14:textId="77777777" w:rsidR="00404B18" w:rsidRDefault="00404B18" w:rsidP="00404B18">
      <w:pPr>
        <w:tabs>
          <w:tab w:val="left" w:pos="2918"/>
        </w:tabs>
      </w:pPr>
      <w:r>
        <w:t xml:space="preserve">segurança, transparência e eficiência na prestação dos serviços e na gestão dos recursos públicos. Em face do exposto, a Comissão de Saúde, Promoção Social, Trabalho e Mulher, no âmbito de sua competência, entende que o presente projeto é meritório e merece prosperar, eis que a proposta </w:t>
      </w:r>
      <w:proofErr w:type="gramStart"/>
      <w:r>
        <w:t>justifica-se</w:t>
      </w:r>
      <w:proofErr w:type="gramEnd"/>
      <w:r>
        <w:t xml:space="preserve"> pela necessidade de aprimorar a gestão, a segurança e a</w:t>
      </w:r>
    </w:p>
    <w:p w14:paraId="32642943" w14:textId="77777777" w:rsidR="00404B18" w:rsidRDefault="00404B18" w:rsidP="00404B18">
      <w:pPr>
        <w:tabs>
          <w:tab w:val="left" w:pos="2918"/>
        </w:tabs>
      </w:pPr>
      <w:r>
        <w:t xml:space="preserve">transparência nos centros de acolhida do Município de São Paulo, mediante a adoção de mecanismos que permitam o acompanhamento efetivo da frequência </w:t>
      </w:r>
      <w:r>
        <w:lastRenderedPageBreak/>
        <w:t>dos usuários e da ocupação das vagas disponíveis. O registro automatizado das entradas e saídas e o controle da</w:t>
      </w:r>
    </w:p>
    <w:p w14:paraId="478FCDAD" w14:textId="77777777" w:rsidR="00404B18" w:rsidRDefault="00404B18" w:rsidP="00404B18">
      <w:pPr>
        <w:tabs>
          <w:tab w:val="left" w:pos="2918"/>
        </w:tabs>
      </w:pPr>
      <w:r>
        <w:t>ocupação em tempo real possibilitam maior precisão na identificação da demanda pelos serviços, contribuindo para o planejamento das ações, a adequada distribuição dos recursos públicos e a rápida identificação tanto de situações de superlotação quanto da existência de</w:t>
      </w:r>
    </w:p>
    <w:p w14:paraId="72D2339F" w14:textId="77777777" w:rsidR="00404B18" w:rsidRDefault="00404B18" w:rsidP="00404B18">
      <w:pPr>
        <w:tabs>
          <w:tab w:val="left" w:pos="2918"/>
        </w:tabs>
      </w:pPr>
      <w:r>
        <w:t>vagas disponíveis. A medida também fortalece a segurança dos usuários e dos profissionais, ao permitir maior controle sobre a</w:t>
      </w:r>
    </w:p>
    <w:p w14:paraId="0513496F" w14:textId="77777777" w:rsidR="00404B18" w:rsidRDefault="00404B18" w:rsidP="00404B18">
      <w:pPr>
        <w:tabs>
          <w:tab w:val="left" w:pos="2918"/>
        </w:tabs>
      </w:pPr>
      <w:r>
        <w:t>circulação de pessoas nas unidades, inclusive mediante a identificação de visitantes e o registro da finalidade das visitas, favorecendo a prevenção e a apuração de eventuais ocorrências. Além disso, ao prever armazenamento temporário e seguro dos dados e acesso restrito aos profissionais autorizados, a proposta busca</w:t>
      </w:r>
    </w:p>
    <w:p w14:paraId="4FF4E5BD" w14:textId="77777777" w:rsidR="00404B18" w:rsidRDefault="00404B18" w:rsidP="00404B18">
      <w:pPr>
        <w:tabs>
          <w:tab w:val="left" w:pos="2918"/>
        </w:tabs>
      </w:pPr>
      <w:r>
        <w:t>compatibilizar o monitoramento com a necessária proteção das informações pessoais dos usuários. Dessa forma, a iniciativa mostra-se pertinente por contribuir para uma gestão mais eficiente e transparente da rede municipal de acolhimento, proporcionando melhores</w:t>
      </w:r>
    </w:p>
    <w:p w14:paraId="011E6944" w14:textId="77777777" w:rsidR="00404B18" w:rsidRDefault="00404B18" w:rsidP="00404B18">
      <w:pPr>
        <w:tabs>
          <w:tab w:val="left" w:pos="2918"/>
        </w:tabs>
      </w:pPr>
      <w:r>
        <w:t>condições de planejamento, controle das vagas e segurança, com reflexos positivos na qualidade dos serviços prestados à população em</w:t>
      </w:r>
    </w:p>
    <w:p w14:paraId="06B914DF" w14:textId="77777777" w:rsidR="00404B18" w:rsidRDefault="00404B18" w:rsidP="00404B18">
      <w:pPr>
        <w:tabs>
          <w:tab w:val="left" w:pos="2918"/>
        </w:tabs>
      </w:pPr>
      <w:r>
        <w:t>situação de vulnerabilidade, sendo, portanto, o parecer favorável ao Substitutivo da Comissão de Constituição, Justiça e Legislação</w:t>
      </w:r>
    </w:p>
    <w:p w14:paraId="05626737" w14:textId="77777777" w:rsidR="00404B18" w:rsidRDefault="00404B18" w:rsidP="00404B18">
      <w:pPr>
        <w:tabs>
          <w:tab w:val="left" w:pos="2918"/>
        </w:tabs>
      </w:pPr>
      <w:r>
        <w:t>Participativa. Sala da Comissão de Saúde, Promoção Social, Trabalho e Mulher, em 19/08/2026.</w:t>
      </w:r>
    </w:p>
    <w:p w14:paraId="2B1E4A70" w14:textId="77777777" w:rsidR="00404B18" w:rsidRDefault="00404B18" w:rsidP="00404B18">
      <w:pPr>
        <w:tabs>
          <w:tab w:val="left" w:pos="2918"/>
        </w:tabs>
      </w:pPr>
      <w:r>
        <w:t>Ver. Ely Teruel (MDB) - Presidente Ver. Dra. Sandra Tadeu (PL) - Vice-presidente Ver. Adilson Amadeu (UNIÃO)</w:t>
      </w:r>
    </w:p>
    <w:p w14:paraId="441A7547" w14:textId="77777777" w:rsidR="00404B18" w:rsidRDefault="00404B18" w:rsidP="00404B18">
      <w:pPr>
        <w:tabs>
          <w:tab w:val="left" w:pos="2918"/>
        </w:tabs>
      </w:pPr>
      <w:r>
        <w:t>Ver. Amanda Paschoal (PSOL)</w:t>
      </w:r>
    </w:p>
    <w:p w14:paraId="46120B08" w14:textId="77777777" w:rsidR="00404B18" w:rsidRDefault="00404B18" w:rsidP="00404B18">
      <w:pPr>
        <w:tabs>
          <w:tab w:val="left" w:pos="2918"/>
        </w:tabs>
      </w:pPr>
      <w:r>
        <w:t>Ver. Roberto Tripoli (PV) - Relatoria Ver. Simone Ganem (PODE)</w:t>
      </w:r>
    </w:p>
    <w:p w14:paraId="3D3E1928" w14:textId="77777777" w:rsidR="00404B18" w:rsidRDefault="00404B18" w:rsidP="00404B18">
      <w:pPr>
        <w:tabs>
          <w:tab w:val="left" w:pos="2918"/>
        </w:tabs>
      </w:pPr>
      <w:r>
        <w:t>PARECER N° 1163/2026 DA COMISSÃO DE SAÚDE, PROMOÇÃO SOCIAL, TRABALHO E MULHER SOBRE O PROJETO DE LEI N° 644/2025. O presente projeto, de autoria do nobre Vereador Gilberto Nascimento, dispõe sobre a garantia do acesso ao tratamento clínico especializado e precoce em distúrbios de fala e comunicação na infância no município de São Paulo, e dá outras providências. A Comissão de Constituição, Justiça e Legislação Participativa emitiu parecer de legalidade. A Comissão de Administração Pública exarou parecer favorável. A presente propositura visa assegurar às crianças de São Paulo o direito à identificação e ao tratamento precoce dos distúrbios de fala e</w:t>
      </w:r>
    </w:p>
    <w:p w14:paraId="1257F8EA" w14:textId="77777777" w:rsidR="00404B18" w:rsidRDefault="00404B18" w:rsidP="00404B18">
      <w:pPr>
        <w:tabs>
          <w:tab w:val="left" w:pos="2918"/>
        </w:tabs>
      </w:pPr>
      <w:r>
        <w:lastRenderedPageBreak/>
        <w:t>comunicação, abrangendo condições como apraxia, disfemia, afasia e outros transtornos que comprometem a linguagem oral e a</w:t>
      </w:r>
    </w:p>
    <w:p w14:paraId="53F4D344" w14:textId="77777777" w:rsidR="00404B18" w:rsidRDefault="00404B18" w:rsidP="00404B18">
      <w:pPr>
        <w:tabs>
          <w:tab w:val="left" w:pos="2918"/>
        </w:tabs>
      </w:pPr>
      <w:r>
        <w:t>interação social. Para tanto, prevê atendimento clínico especializado e multiprofissional desde os primeiros sinais do problema. Entre</w:t>
      </w:r>
    </w:p>
    <w:p w14:paraId="7259C2A0" w14:textId="77777777" w:rsidR="00404B18" w:rsidRDefault="00404B18" w:rsidP="00404B18">
      <w:pPr>
        <w:tabs>
          <w:tab w:val="left" w:pos="2918"/>
        </w:tabs>
      </w:pPr>
      <w:r>
        <w:t>seus objetivos, destacam-se: garantir diagnóstico e acesso rápido ao tratamento; prevenir agravamentos que possam comprometer o desenvolvimento comunicacional, social e educacional; promover a integração entre as áreas de saúde e educação para assegurar</w:t>
      </w:r>
    </w:p>
    <w:p w14:paraId="788C55AE" w14:textId="77777777" w:rsidR="00404B18" w:rsidRDefault="00404B18" w:rsidP="00404B18">
      <w:pPr>
        <w:tabs>
          <w:tab w:val="left" w:pos="2918"/>
        </w:tabs>
      </w:pPr>
      <w:r>
        <w:t>cuidado contínuo e eficaz; e capacitar profissionais para a detecção precoce, triagem e encaminhamento adequado das crianças que necessitam de acompanhamento especializado. De acordo com o artigo “Distúrbios da fala e da linguagem na infância</w:t>
      </w:r>
      <w:proofErr w:type="gramStart"/>
      <w:r>
        <w:t>” ,</w:t>
      </w:r>
      <w:proofErr w:type="gramEnd"/>
      <w:r>
        <w:t xml:space="preserve"> os distúrbios da fala e da linguagem são doenças prevalentes na</w:t>
      </w:r>
    </w:p>
    <w:p w14:paraId="3ABFE13B" w14:textId="77777777" w:rsidR="00404B18" w:rsidRDefault="00404B18" w:rsidP="00404B18">
      <w:pPr>
        <w:tabs>
          <w:tab w:val="left" w:pos="2918"/>
        </w:tabs>
      </w:pPr>
      <w:r>
        <w:t>infância, passíveis de prevenção e tratamento quando diagnosticados precocemente, sendo a comunicação um meio pelo qual o</w:t>
      </w:r>
    </w:p>
    <w:p w14:paraId="6E30795C" w14:textId="77777777" w:rsidR="00404B18" w:rsidRDefault="00404B18" w:rsidP="00404B18">
      <w:pPr>
        <w:tabs>
          <w:tab w:val="left" w:pos="2918"/>
        </w:tabs>
      </w:pPr>
      <w:r>
        <w:t>indivíduo recebe e expressa a linguagem, sendo um elemento essencial para a socialização e integração na comunidade, portanto, os distúrbios da comunicação causam impacto direto sobre a vida social da criança e sobre o sucesso acadêmico e ocupacional sendo</w:t>
      </w:r>
    </w:p>
    <w:p w14:paraId="54ACB1F6" w14:textId="77777777" w:rsidR="00404B18" w:rsidRDefault="00404B18" w:rsidP="00404B18">
      <w:pPr>
        <w:tabs>
          <w:tab w:val="left" w:pos="2918"/>
        </w:tabs>
      </w:pPr>
      <w:r>
        <w:t>reconhecidos como importantes questões de saúde pública. Os distúrbios da comunicação constituem algumas das doenças infantis mais prevalentes, manifestando-se como atraso ou desenvolvimento atípico envolvendo componentes funcionais da audição, fala e/ou linguagem em níveis variados de gravidade, sendo percebidos majoritariamente pelos pais, que referem que a criança tem dificuldade para falar ou que não fala, é dificilmente</w:t>
      </w:r>
    </w:p>
    <w:p w14:paraId="003407CF" w14:textId="77777777" w:rsidR="00404B18" w:rsidRDefault="00404B18" w:rsidP="00404B18">
      <w:pPr>
        <w:tabs>
          <w:tab w:val="left" w:pos="2918"/>
        </w:tabs>
      </w:pPr>
      <w:r>
        <w:t>compreendida, incapaz de dizer alguns sons corretamente ou que gagueja. Crianças com atraso no desenvolvimento da linguagem irão apresentar, na idade escolar, importantes e persistentes anormalidades neuropsicológicas, entre elas os transtornos específicos de aprendizagem. Os primeiros anos de vida da criança são determinantes para o desenvolvimento adequado da linguagem. Em ambiente comunicativo e a partir da interação com a família, a criança adquire as bases para um desenvolvimento sadio da linguagem, no que diz respeito à sua</w:t>
      </w:r>
    </w:p>
    <w:p w14:paraId="671C30B7" w14:textId="77777777" w:rsidR="00404B18" w:rsidRDefault="00404B18" w:rsidP="00404B18">
      <w:pPr>
        <w:tabs>
          <w:tab w:val="left" w:pos="2918"/>
        </w:tabs>
      </w:pPr>
      <w:r>
        <w:t xml:space="preserve">forma, conteúdo e uso. A aquisição normal da linguagem é dependente de uma série de fatores como o contexto social, familiar e histórico </w:t>
      </w:r>
      <w:proofErr w:type="spellStart"/>
      <w:r>
        <w:t>pré</w:t>
      </w:r>
      <w:proofErr w:type="spellEnd"/>
      <w:r>
        <w:t xml:space="preserve">, </w:t>
      </w:r>
      <w:proofErr w:type="spellStart"/>
      <w:r>
        <w:t>peri</w:t>
      </w:r>
      <w:proofErr w:type="spellEnd"/>
      <w:r>
        <w:t xml:space="preserve"> e pós-natal da criança, suas experiências, capacidades cognitivas e orgânico-funcionais. A integridade auditiva</w:t>
      </w:r>
    </w:p>
    <w:p w14:paraId="3F85D63E" w14:textId="77777777" w:rsidR="00404B18" w:rsidRDefault="00404B18" w:rsidP="00404B18">
      <w:pPr>
        <w:tabs>
          <w:tab w:val="left" w:pos="2918"/>
        </w:tabs>
      </w:pPr>
      <w:r>
        <w:lastRenderedPageBreak/>
        <w:t>também é um pré-requisito para esse processo, bem como as estruturas envolvidas na produção de fala. A pandemia de Covid-19 também contribuiu no incremento de distúrbios de fala em crianças, sendo elas um dos grupos sociais mais</w:t>
      </w:r>
    </w:p>
    <w:p w14:paraId="0C78D0C2" w14:textId="77777777" w:rsidR="00404B18" w:rsidRDefault="00404B18" w:rsidP="00404B18">
      <w:pPr>
        <w:tabs>
          <w:tab w:val="left" w:pos="2918"/>
        </w:tabs>
      </w:pPr>
      <w:r>
        <w:t>impactados durante a pandemia de COVID-19. Suas rotinas diárias, incluindo ambientes sociais, escolares e familiares foram</w:t>
      </w:r>
    </w:p>
    <w:p w14:paraId="11ED59DA" w14:textId="77777777" w:rsidR="00404B18" w:rsidRDefault="00404B18" w:rsidP="00404B18">
      <w:pPr>
        <w:tabs>
          <w:tab w:val="left" w:pos="2918"/>
        </w:tabs>
      </w:pPr>
      <w:r>
        <w:t>profundamente modificadas e podem ter desencadeado consequências inadvertidas no desenvolvimento e bem-estar das crianças. O</w:t>
      </w:r>
    </w:p>
    <w:p w14:paraId="599CBC96" w14:textId="77777777" w:rsidR="00404B18" w:rsidRDefault="00404B18" w:rsidP="00404B18">
      <w:pPr>
        <w:tabs>
          <w:tab w:val="left" w:pos="2918"/>
        </w:tabs>
      </w:pPr>
      <w:r>
        <w:t>desenvolvimento da linguagem e da fala geralmente ocorre durante a primeira infância em uma aquisição gradual de habilidades</w:t>
      </w:r>
    </w:p>
    <w:p w14:paraId="6CFBAFC4" w14:textId="77777777" w:rsidR="00404B18" w:rsidRDefault="00404B18" w:rsidP="00404B18">
      <w:pPr>
        <w:tabs>
          <w:tab w:val="left" w:pos="2918"/>
        </w:tabs>
      </w:pPr>
      <w:r>
        <w:t>receptivas e expressivas, e com o fechamento de escolas, o distanciamento social e o uso generalizado de máscaras impactaram</w:t>
      </w:r>
    </w:p>
    <w:p w14:paraId="0E92D3EA" w14:textId="77777777" w:rsidR="00404B18" w:rsidRDefault="00404B18" w:rsidP="00404B18">
      <w:pPr>
        <w:tabs>
          <w:tab w:val="left" w:pos="2918"/>
        </w:tabs>
      </w:pPr>
      <w:r>
        <w:t>negativamente no desenvolvimento da linguagem. Um estudo longitudinal de crianças nascidas durante o período pandêmico mostrou</w:t>
      </w:r>
    </w:p>
    <w:p w14:paraId="31D86617" w14:textId="77777777" w:rsidR="00404B18" w:rsidRDefault="00404B18" w:rsidP="00404B18">
      <w:pPr>
        <w:tabs>
          <w:tab w:val="left" w:pos="2918"/>
        </w:tabs>
      </w:pPr>
      <w:r>
        <w:t>evidências preliminares de desempenho verbal reduzido em comparação com crianças nascidas antes da pandemia. A proposta configura-se pertinente diante da relevância da detecção e intervenção precoces nos distúrbios de fala e comunicação, medida essencial para garantir o pleno desenvolvimento cognitivo, social e educacional das crianças, prevenindo agravamentos e promovendo sua adequada inclusão na sociedade. A Comissão de Saúde, Promoção Social, Trabalho e Mulher, no âmbito de sua competência, entende que a propositura é meritória,</w:t>
      </w:r>
    </w:p>
    <w:p w14:paraId="55D14F07" w14:textId="77777777" w:rsidR="00404B18" w:rsidRDefault="00404B18" w:rsidP="00404B18">
      <w:pPr>
        <w:tabs>
          <w:tab w:val="left" w:pos="2918"/>
        </w:tabs>
      </w:pPr>
      <w:r>
        <w:t>relevante e deve prosperar, sendo, portanto, favorável é o parecer. Sala da Comissão de Saúde, Promoção Social, Trabalho e Mulher, em 19/08/2026. Ver. Ely Teruel (MDB) - Presidente Ver. Dra. Sandra Tadeu (PL) - Vice-presidente Ver. Adilson Amadeu (UNIÃO)</w:t>
      </w:r>
    </w:p>
    <w:p w14:paraId="59D1B51B" w14:textId="77777777" w:rsidR="00404B18" w:rsidRDefault="00404B18" w:rsidP="00404B18">
      <w:pPr>
        <w:tabs>
          <w:tab w:val="left" w:pos="2918"/>
        </w:tabs>
      </w:pPr>
      <w:r>
        <w:t>Ver. Amanda Paschoal (PSOL)</w:t>
      </w:r>
    </w:p>
    <w:p w14:paraId="5D1DA66C" w14:textId="77777777" w:rsidR="00404B18" w:rsidRDefault="00404B18" w:rsidP="00404B18">
      <w:pPr>
        <w:tabs>
          <w:tab w:val="left" w:pos="2918"/>
        </w:tabs>
      </w:pPr>
      <w:r>
        <w:t>Ver. Roberto Tripoli (PV)</w:t>
      </w:r>
    </w:p>
    <w:p w14:paraId="5586605D" w14:textId="77777777" w:rsidR="00404B18" w:rsidRDefault="00404B18" w:rsidP="00404B18">
      <w:pPr>
        <w:tabs>
          <w:tab w:val="left" w:pos="2918"/>
        </w:tabs>
      </w:pPr>
      <w:r>
        <w:t>Ver. Simone Ganem (PODE) - Relatoria</w:t>
      </w:r>
    </w:p>
    <w:p w14:paraId="1F2BB58A" w14:textId="77777777" w:rsidR="00404B18" w:rsidRDefault="00404B18" w:rsidP="00404B18">
      <w:pPr>
        <w:tabs>
          <w:tab w:val="left" w:pos="2918"/>
        </w:tabs>
      </w:pPr>
      <w:r>
        <w:t xml:space="preserve">PARECER N° 1164/2026 DA COMISSÃO DE SAÚDE, PROMOÇÃO SOCIAL, TRABALHO E MULHER SOBRE O PROJETO DE LEI Nº 711/2025. Trata-se de Projeto de Lei apresentado pelos nobres Vereadores Simone Ganem e Professor Toninho </w:t>
      </w:r>
      <w:proofErr w:type="spellStart"/>
      <w:r>
        <w:t>Vespoli</w:t>
      </w:r>
      <w:proofErr w:type="spellEnd"/>
      <w:r>
        <w:t>, que assegura ao paciente</w:t>
      </w:r>
    </w:p>
    <w:p w14:paraId="6AE03C3B" w14:textId="77777777" w:rsidR="00404B18" w:rsidRDefault="00404B18" w:rsidP="00404B18">
      <w:pPr>
        <w:tabs>
          <w:tab w:val="left" w:pos="2918"/>
        </w:tabs>
      </w:pPr>
      <w:r>
        <w:t xml:space="preserve">com fibromialgia assento preferencial na rede de transporte público municipal. A Comissão de Constituição, Justiça e Legislação Participativa exarou parecer pela </w:t>
      </w:r>
      <w:r>
        <w:lastRenderedPageBreak/>
        <w:t>legalidade na forma de substitutivo para adequar a proposta à melhor técnica de elaboração legislativa. A Comissão de Administração Pública manifestou-se favorável ao projeto de lei, na forma do substitutivo apresentado pela Comissão de Constituição, Justiça e Legislação Participativa. A Comissão de Trânsito, Transporte, Atividade Econômica foi favorável ao substitutivo da Comissão de Constituição, Justiça e Legislação</w:t>
      </w:r>
    </w:p>
    <w:p w14:paraId="3773A01D" w14:textId="77777777" w:rsidR="00404B18" w:rsidRDefault="00404B18" w:rsidP="00404B18">
      <w:pPr>
        <w:tabs>
          <w:tab w:val="left" w:pos="2918"/>
        </w:tabs>
      </w:pPr>
      <w:r>
        <w:t>Participativa. O projeto de lei em questão tem como objetivo assegurar o assento gratuito no transporte público municipal às pessoas com</w:t>
      </w:r>
    </w:p>
    <w:p w14:paraId="69D25BF6" w14:textId="77777777" w:rsidR="00404B18" w:rsidRDefault="00404B18" w:rsidP="00404B18">
      <w:pPr>
        <w:tabs>
          <w:tab w:val="left" w:pos="2918"/>
        </w:tabs>
      </w:pPr>
      <w:r>
        <w:t>fibromialgia. Na justificativa da proposta, os autores colocam a necessidade de garantir o assento referencial na rede de transporte público municipal “como forma de prover mais conforto e segurança para pessoas que possuem uma condição de saúde que demanda</w:t>
      </w:r>
    </w:p>
    <w:p w14:paraId="461EEDFE" w14:textId="77777777" w:rsidR="00404B18" w:rsidRDefault="00404B18" w:rsidP="00404B18">
      <w:pPr>
        <w:tabs>
          <w:tab w:val="left" w:pos="2918"/>
        </w:tabs>
      </w:pPr>
      <w:r>
        <w:t>tratamento diferenciado, principalmente devido ao trânsito lento na cidade e por essas pessoas sentirem dor no corpo todo e sintomas de fadiga (cansaço), sono não reparador (a pessoa acorda cansada) e outros sintomas como alterações de memória e atenção, ansiedade, depressão e alterações intestinais. Em alguns casos, tarefas simples, como se deslocar de ônibus ou metrô, podem se</w:t>
      </w:r>
    </w:p>
    <w:p w14:paraId="2B9D0C41" w14:textId="77777777" w:rsidR="00404B18" w:rsidRDefault="00404B18" w:rsidP="00404B18">
      <w:pPr>
        <w:tabs>
          <w:tab w:val="left" w:pos="2918"/>
        </w:tabs>
      </w:pPr>
      <w:r>
        <w:t>transformar em atividades difíceis de serem realizadas”. As pessoas com direito ao assento preferencial nos ônibus da cidade de São Paulo incluem idosos, gestantes, mulheres com crianças de</w:t>
      </w:r>
    </w:p>
    <w:p w14:paraId="42EBF16E" w14:textId="77777777" w:rsidR="00404B18" w:rsidRDefault="00404B18" w:rsidP="00404B18">
      <w:pPr>
        <w:tabs>
          <w:tab w:val="left" w:pos="2918"/>
        </w:tabs>
      </w:pPr>
      <w:r>
        <w:t>colo, pessoas com obesidade, pessoas com mobilidade reduzida e pessoas com transtorno do espectro autista. A fibromialgia ainda não é formalmente reconhecida como deficiência de forma geral. No entanto, para fins previdenciários e em</w:t>
      </w:r>
    </w:p>
    <w:p w14:paraId="7099DE4D" w14:textId="77777777" w:rsidR="00404B18" w:rsidRDefault="00404B18" w:rsidP="00404B18">
      <w:pPr>
        <w:tabs>
          <w:tab w:val="left" w:pos="2918"/>
        </w:tabs>
      </w:pPr>
      <w:r>
        <w:t>concursos públicos, a condição pode ser enquadrada como deficiência quando os sintomas forem graves e persistentes, especialmente</w:t>
      </w:r>
    </w:p>
    <w:p w14:paraId="59F22BE7" w14:textId="77777777" w:rsidR="00404B18" w:rsidRDefault="00404B18" w:rsidP="00404B18">
      <w:pPr>
        <w:tabs>
          <w:tab w:val="left" w:pos="2918"/>
        </w:tabs>
      </w:pPr>
      <w:r>
        <w:t>se houver limitação funcional significativa, como dificuldade para trabalhar, se locomover ou manter a rotina diária. Como a fibromialgia é uma condição não visível e os demais casos de prioridade são respaldados por normas específicas, muitas vezes é necessário contar com o bom senso das pessoas para a cessão do assento. Assim, portar um laudo médico que comprove a condição e a eventual caracterização da pessoa com fibromialgia como pessoa com deficiência, seria recomendável. A Lei Brasileira de Inclusão da Pessoa com Deficiência não lista doenças específicas, mas define PCD como quem tem impedimento de</w:t>
      </w:r>
    </w:p>
    <w:p w14:paraId="3A8B278B" w14:textId="77777777" w:rsidR="00404B18" w:rsidRDefault="00404B18" w:rsidP="00404B18">
      <w:pPr>
        <w:tabs>
          <w:tab w:val="left" w:pos="2918"/>
        </w:tabs>
      </w:pPr>
      <w:r>
        <w:t xml:space="preserve">longo prazo que cause limitação real na participação na sociedade, sendo o principal foco da legislação PCD, o impacto funcional, não o nome da doença. Assim, a Lei nº 15.176, de 23 de julho de 2025, altera a Lei nº 14.705/2023 para </w:t>
      </w:r>
      <w:r>
        <w:lastRenderedPageBreak/>
        <w:t>instituir um Programa Nacional de Proteção dos Direitos da Pessoa com Síndrome de Fibromialgia, Fadiga Crônica, Síndrome Complexa de Dor Regional e doenças correlatas. A norma define diretrizes para o atendimento dessas condições no âmbito do Sistema Único de Saúde (SUS) e trata da possível equiparação dessas</w:t>
      </w:r>
    </w:p>
    <w:p w14:paraId="0778C52F" w14:textId="77777777" w:rsidR="00404B18" w:rsidRDefault="00404B18" w:rsidP="00404B18">
      <w:pPr>
        <w:tabs>
          <w:tab w:val="left" w:pos="2918"/>
        </w:tabs>
      </w:pPr>
      <w:r>
        <w:t>pessoas a pessoas com deficiência. Prevê ainda que a equiparação à condição de pessoa com deficiência dependa de avaliação biopsicossocial por equipe multiprofissional, conforme critérios do Estatuto da Pessoa com Deficiência, considerando limitações</w:t>
      </w:r>
    </w:p>
    <w:p w14:paraId="3F314CB4" w14:textId="77777777" w:rsidR="00404B18" w:rsidRDefault="00404B18" w:rsidP="00404B18">
      <w:pPr>
        <w:tabs>
          <w:tab w:val="left" w:pos="2918"/>
        </w:tabs>
      </w:pPr>
      <w:r>
        <w:t>funcionais, fatores socioambientais e restrições de participação social. Tendo em vista todo o exposto e aos aspectos a serem analisados por este colegiado, a Comissão de Saúde, Promoção Social, Trabalho e Mulher manifesta-se FAVORÁVEL ao Projeto de Lei nª 711/2025, nos termos do substitutivo apresentado pela Comissão de Constituição,</w:t>
      </w:r>
    </w:p>
    <w:p w14:paraId="61586ACF" w14:textId="77777777" w:rsidR="00404B18" w:rsidRDefault="00404B18" w:rsidP="00404B18">
      <w:pPr>
        <w:tabs>
          <w:tab w:val="left" w:pos="2918"/>
        </w:tabs>
      </w:pPr>
      <w:r>
        <w:t>Justiça e Legislação Participativa. Sala da Comissão de Saúde, Promoção Social, Trabalho e Mulher, em 19/08/2026. Ver. Ely Teruel (MDB) - Presidente Ver. Dra. Sandra Tadeu (PL) - Vice-presidente Ver. Adilson Amadeu (UNIÃO)</w:t>
      </w:r>
    </w:p>
    <w:p w14:paraId="180663BD" w14:textId="77777777" w:rsidR="00404B18" w:rsidRDefault="00404B18" w:rsidP="00404B18">
      <w:pPr>
        <w:tabs>
          <w:tab w:val="left" w:pos="2918"/>
        </w:tabs>
      </w:pPr>
      <w:r>
        <w:t>Ver. Amanda Paschoal (PSOL) - Relatoria Ver. Roberto Tripoli (PV)</w:t>
      </w:r>
    </w:p>
    <w:p w14:paraId="482D09A6" w14:textId="77777777" w:rsidR="00404B18" w:rsidRDefault="00404B18" w:rsidP="00404B18">
      <w:pPr>
        <w:tabs>
          <w:tab w:val="left" w:pos="2918"/>
        </w:tabs>
      </w:pPr>
      <w:r>
        <w:t>Ver. Simone Ganem (PODE)</w:t>
      </w:r>
    </w:p>
    <w:p w14:paraId="02D803CB" w14:textId="77777777" w:rsidR="00404B18" w:rsidRDefault="00404B18" w:rsidP="00404B18">
      <w:pPr>
        <w:tabs>
          <w:tab w:val="left" w:pos="2918"/>
        </w:tabs>
      </w:pPr>
      <w:r>
        <w:t xml:space="preserve">PARECER N° 1165/2026 DA COMISSÃO DE SAÚDE, PROMOÇÃO SOCIAL, TRABALHO E MULHER SOBRE O PROJETO DE LEI Nº 721/2025. O presente projeto, de autoria dos nobres Vereadores Sansão Pereira e </w:t>
      </w:r>
      <w:proofErr w:type="spellStart"/>
      <w:r>
        <w:t>Silvão</w:t>
      </w:r>
      <w:proofErr w:type="spellEnd"/>
      <w:r>
        <w:t xml:space="preserve"> Leite, dispõe sobre a oferta gratuita de cursos presenciais de capacitação em tecnologia e inclusão digital para idosos no município de São Paulo, por meio da Secretaria Municipal de Desenvolvimento Econômico e Trabalho - SMDET, e dá outras providências. A Comissão de Constituição, Justiça e Legislação Participativa exarou parecer pela legalidade com substitutivo. A Comissão de Administração Pública emitiu parecer favorável ao substitutivo de Comissão de Constituição, Justiça e Legislação</w:t>
      </w:r>
    </w:p>
    <w:p w14:paraId="34163819" w14:textId="77777777" w:rsidR="00404B18" w:rsidRDefault="00404B18" w:rsidP="00404B18">
      <w:pPr>
        <w:tabs>
          <w:tab w:val="left" w:pos="2918"/>
        </w:tabs>
      </w:pPr>
      <w:r>
        <w:t>Participativa. A Comissão de Trânsito, Transporte e Atividade Econômica elaborou parecer favorável ao substitutivo de Comissão de Constituição,</w:t>
      </w:r>
    </w:p>
    <w:p w14:paraId="5372D726" w14:textId="77777777" w:rsidR="00404B18" w:rsidRDefault="00404B18" w:rsidP="00404B18">
      <w:pPr>
        <w:tabs>
          <w:tab w:val="left" w:pos="2918"/>
        </w:tabs>
      </w:pPr>
      <w:r>
        <w:t>Justiça e Legislação Participativa. A proposta institui, no Município de São Paulo, a oferta gratuita de cursos presenciais e remotos de capacitação em tecnologia e inclusão digital destinados às pessoas idosas, com realização prioritariamente presencial e observância das condições de acessibilidade e</w:t>
      </w:r>
    </w:p>
    <w:p w14:paraId="77B4A2E5" w14:textId="77777777" w:rsidR="00404B18" w:rsidRDefault="00404B18" w:rsidP="00404B18">
      <w:pPr>
        <w:tabs>
          <w:tab w:val="left" w:pos="2918"/>
        </w:tabs>
      </w:pPr>
      <w:r>
        <w:t>segurança. Os cursos têm como objetivos promover a inclusão digital, ampliar a autonomia e a participação social dos idosos e proporcionar conhecimentos básicos e intermediários sobre o uso de computadores, smartphones, internet, redes sociais e aplicativos,</w:t>
      </w:r>
    </w:p>
    <w:p w14:paraId="67DA2014" w14:textId="77777777" w:rsidR="00404B18" w:rsidRDefault="00404B18" w:rsidP="00404B18">
      <w:pPr>
        <w:tabs>
          <w:tab w:val="left" w:pos="2918"/>
        </w:tabs>
      </w:pPr>
      <w:r>
        <w:lastRenderedPageBreak/>
        <w:t>inclusive aqueles relacionados a serviços públicos e bancários. A capacitação também deverá abordar segurança da informação, privacidade, proteção de dados e práticas digitais responsáveis, com especial atenção à prevenção de golpes e fraudes, orientando os</w:t>
      </w:r>
    </w:p>
    <w:p w14:paraId="360D86E4" w14:textId="77777777" w:rsidR="00404B18" w:rsidRDefault="00404B18" w:rsidP="00404B18">
      <w:pPr>
        <w:tabs>
          <w:tab w:val="left" w:pos="2918"/>
        </w:tabs>
      </w:pPr>
      <w:r>
        <w:t>idosos sobre a identificação de situações de risco, os instrumentos de proteção disponíveis e os canais de denúncia. A distribuição dos</w:t>
      </w:r>
    </w:p>
    <w:p w14:paraId="3FFCBAAF" w14:textId="77777777" w:rsidR="00404B18" w:rsidRDefault="00404B18" w:rsidP="00404B18">
      <w:pPr>
        <w:tabs>
          <w:tab w:val="left" w:pos="2918"/>
        </w:tabs>
      </w:pPr>
      <w:r>
        <w:t>cursos pelo Município deverá considerar a concentração da população idosa, a demanda existente em cada território e a disponibilidade de infraestrutura adequada. O Poder Executivo poderá regulamentar a lei para assegurar sua execução. Segundo a justificativa, a proposta busca assegurar a inclusão digital da população idosa no Município de São Paulo, mediante a oferta gratuita de cursos de capacitação em tecnologia. A iniciativa fundamenta-se na crescente importância das ferramentas digitais para o exercício da cidadania, comunicação e acesso a serviços públicos, saúde, lazer e oportunidades de trabalho, procurando reduzir</w:t>
      </w:r>
    </w:p>
    <w:p w14:paraId="5D92ADF4" w14:textId="77777777" w:rsidR="00404B18" w:rsidRDefault="00404B18" w:rsidP="00404B18">
      <w:pPr>
        <w:tabs>
          <w:tab w:val="left" w:pos="2918"/>
        </w:tabs>
      </w:pPr>
      <w:r>
        <w:t>situações de isolamento social, exclusão e vulnerabilidade. A capacitação também contempla orientações sobre segurança da</w:t>
      </w:r>
    </w:p>
    <w:p w14:paraId="5F28566F" w14:textId="77777777" w:rsidR="00404B18" w:rsidRDefault="00404B18" w:rsidP="00404B18">
      <w:pPr>
        <w:tabs>
          <w:tab w:val="left" w:pos="2918"/>
        </w:tabs>
      </w:pPr>
      <w:r>
        <w:t>informação, privacidade e prevenção de fraudes e ameaças digitais, especialmente relevantes para a proteção desse público. A iniciativa pretende ainda ampliar a autonomia, a qualidade de vida e as oportunidades de inserção ou permanência dos idosos no mercado de</w:t>
      </w:r>
    </w:p>
    <w:p w14:paraId="2988D6A3" w14:textId="77777777" w:rsidR="00404B18" w:rsidRDefault="00404B18" w:rsidP="00404B18">
      <w:pPr>
        <w:tabs>
          <w:tab w:val="left" w:pos="2918"/>
        </w:tabs>
      </w:pPr>
      <w:r>
        <w:t>trabalho, proporcionando conhecimentos tecnológicos que possam favorecer a geração de renda e a independência financeira. A</w:t>
      </w:r>
    </w:p>
    <w:p w14:paraId="019EFDCA" w14:textId="77777777" w:rsidR="00404B18" w:rsidRDefault="00404B18" w:rsidP="00404B18">
      <w:pPr>
        <w:tabs>
          <w:tab w:val="left" w:pos="2918"/>
        </w:tabs>
      </w:pPr>
      <w:r>
        <w:t xml:space="preserve">proposta prevê a possibilidade de parcerias com organizações sociais e outras entidades e busca distribuir as ações de acordo com a demanda e a concentração da população idosa nas diferentes regiões, contribuindo para a democratização do acesso à tecnologia e para maior participação social dessa população. Em face do exposto, a Comissão de Saúde, Promoção Social, Trabalho e Mulher, no âmbito de sua competência, entende que o presente projeto é meritório e merece prosperar, eis que a proposta </w:t>
      </w:r>
      <w:proofErr w:type="gramStart"/>
      <w:r>
        <w:t>mostra-se</w:t>
      </w:r>
      <w:proofErr w:type="gramEnd"/>
      <w:r>
        <w:t xml:space="preserve"> relevante por contribuir para a promoção da autonomia, da participação social e da qualidade de vida da população idosa. A inclusão digital pode facilitar o acesso a informações e serviços</w:t>
      </w:r>
    </w:p>
    <w:p w14:paraId="4B7AE84D" w14:textId="77777777" w:rsidR="00404B18" w:rsidRDefault="00404B18" w:rsidP="00404B18">
      <w:pPr>
        <w:tabs>
          <w:tab w:val="left" w:pos="2918"/>
        </w:tabs>
      </w:pPr>
      <w:r>
        <w:t>relacionados à saúde, inclusive agendamentos, resultados de exames, orientações e demais recursos disponibilizados por meios eletrônicos, favorecendo maior independência na realização de atividades cotidianas. A capacitação tecnológica também pode contribuir para a redução do isolamento social, ao ampliar as possibilidades de comunicação e interação com familiares, amigos e serviços da</w:t>
      </w:r>
    </w:p>
    <w:p w14:paraId="452EBB79" w14:textId="77777777" w:rsidR="00404B18" w:rsidRDefault="00404B18" w:rsidP="00404B18">
      <w:pPr>
        <w:tabs>
          <w:tab w:val="left" w:pos="2918"/>
        </w:tabs>
      </w:pPr>
      <w:r>
        <w:lastRenderedPageBreak/>
        <w:t>comunidade, aspecto importante para o bem-estar e a saúde mental das pessoas idosas. Além disso, a orientação sobre segurança da</w:t>
      </w:r>
    </w:p>
    <w:p w14:paraId="2CDAECAC" w14:textId="77777777" w:rsidR="00404B18" w:rsidRDefault="00404B18" w:rsidP="00404B18">
      <w:pPr>
        <w:tabs>
          <w:tab w:val="left" w:pos="2918"/>
        </w:tabs>
      </w:pPr>
      <w:proofErr w:type="gramStart"/>
      <w:r>
        <w:t>informação e prevenção de golpes digitais auxilia</w:t>
      </w:r>
      <w:proofErr w:type="gramEnd"/>
      <w:r>
        <w:t xml:space="preserve"> na redução de situações de vulnerabilidade que podem ocasionar prejuízos financeiros, estresse, ansiedade e outros impactos negativos sobre o bem-estar. Nesse sentido, ao proporcionar conhecimentos para o uso seguro e</w:t>
      </w:r>
    </w:p>
    <w:p w14:paraId="65B6428C" w14:textId="77777777" w:rsidR="00404B18" w:rsidRDefault="00404B18" w:rsidP="00404B18">
      <w:pPr>
        <w:tabs>
          <w:tab w:val="left" w:pos="2918"/>
        </w:tabs>
      </w:pPr>
      <w:r>
        <w:t>autônomo das tecnologias digitais, a iniciativa favorece o envelhecimento ativo e saudável, fortalece a integração social e facilita o acesso a recursos e serviços essenciais. Assim, sob o aspecto da saúde, a medida apresenta caráter preventivo e de promoção da qualidade de vida, contribuindo para maior autonomia, segurança e participação social da população idosa, sendo, portanto, o parecer</w:t>
      </w:r>
    </w:p>
    <w:p w14:paraId="1C23DA51" w14:textId="77777777" w:rsidR="00404B18" w:rsidRDefault="00404B18" w:rsidP="00404B18">
      <w:pPr>
        <w:tabs>
          <w:tab w:val="left" w:pos="2918"/>
        </w:tabs>
      </w:pPr>
      <w:r>
        <w:t>favorável ao Substitutivo da Comissão de Constituição, Justiça e Legislação Participativa. Sala da Comissão de Saúde, Promoção Social, Trabalho e Mulher, em 19/08/2026. Ver. Ely Teruel (MDB) - Presidente Ver. Dra. Sandra Tadeu (PL) - Vice-presidente Ver. Adilson Amadeu (UNIÃO)</w:t>
      </w:r>
    </w:p>
    <w:p w14:paraId="267B06A8" w14:textId="77777777" w:rsidR="00404B18" w:rsidRDefault="00404B18" w:rsidP="00404B18">
      <w:pPr>
        <w:tabs>
          <w:tab w:val="left" w:pos="2918"/>
        </w:tabs>
      </w:pPr>
      <w:r>
        <w:t>Ver. Amanda Paschoal (PSOL)</w:t>
      </w:r>
    </w:p>
    <w:p w14:paraId="58BB1B78" w14:textId="77777777" w:rsidR="00404B18" w:rsidRDefault="00404B18" w:rsidP="00404B18">
      <w:pPr>
        <w:tabs>
          <w:tab w:val="left" w:pos="2918"/>
        </w:tabs>
      </w:pPr>
      <w:r>
        <w:t>Ver. Roberto Tripoli (PV) - Relatoria Ver. Simone Ganem (PODE)</w:t>
      </w:r>
    </w:p>
    <w:p w14:paraId="1D19AC87" w14:textId="77777777" w:rsidR="00404B18" w:rsidRDefault="00404B18" w:rsidP="00404B18">
      <w:pPr>
        <w:tabs>
          <w:tab w:val="left" w:pos="2918"/>
        </w:tabs>
      </w:pPr>
      <w:r>
        <w:t>PARECER N° 1166/2026 DA COMISSÃO DE SAÚDE, PROMOÇÃO SOCIAL, TRABALHO E MULHER SOBRE O PROJETO DE LEI N° 781 / 2025. O presente projeto de lei, de autoria do nobre Vereador Isac Felix autoriza a Prefeitura no Município de São Paulo a conceder moradia gratuita e emergencial às mulheres vítimas de violência doméstica, nas formas que determina, e dá outras providências. A Comissão de Constituição, Justiça e Legislação Participativa emitiu parecer de legalidade A Comissão de Administração Pública manifestou parecer favorável. O projeto de lei autoriza o Poder Executivo municipal a conceder moradia gratuita e emergencial, em caráter provisório, às mulheres</w:t>
      </w:r>
    </w:p>
    <w:p w14:paraId="7CFC7A07" w14:textId="77777777" w:rsidR="00404B18" w:rsidRDefault="00404B18" w:rsidP="00404B18">
      <w:pPr>
        <w:tabs>
          <w:tab w:val="left" w:pos="2918"/>
        </w:tabs>
      </w:pPr>
      <w:r>
        <w:t>vítimas de violência doméstica no âmbito do Município de São Paulo. O texto prevê que a concessão da moradia deva ocorrer no prazo máximo de 24 horas após solicitação formalizada por autoridade competente, pelo período mínimo de 7 dias, admitida prorrogação por</w:t>
      </w:r>
    </w:p>
    <w:p w14:paraId="7CE24737" w14:textId="77777777" w:rsidR="00404B18" w:rsidRDefault="00404B18" w:rsidP="00404B18">
      <w:pPr>
        <w:tabs>
          <w:tab w:val="left" w:pos="2918"/>
        </w:tabs>
      </w:pPr>
      <w:r>
        <w:t>igual lapso, conforme avaliação técnica e social. Além do abrigo temporário, assegura à mulher atendida sigilo e anonimato quanto à</w:t>
      </w:r>
    </w:p>
    <w:p w14:paraId="0FD2FFBF" w14:textId="77777777" w:rsidR="00404B18" w:rsidRDefault="00404B18" w:rsidP="00404B18">
      <w:pPr>
        <w:tabs>
          <w:tab w:val="left" w:pos="2918"/>
        </w:tabs>
      </w:pPr>
      <w:r>
        <w:t>localização da moradia, transporte até o local de acolhimento, vale-alimentação, acompanhamento psicossocial, jurídico e assistencial, quando disponível, bem como a permanência de filhos menores enquanto perdurar o atendimento. De acordo com o autor, este projeto de lei propõe a criação de moradias temporárias e emergenciais destinadas a mulheres vítimas de</w:t>
      </w:r>
    </w:p>
    <w:p w14:paraId="2CA9F21E" w14:textId="77777777" w:rsidR="00404B18" w:rsidRDefault="00404B18" w:rsidP="00404B18">
      <w:pPr>
        <w:tabs>
          <w:tab w:val="left" w:pos="2918"/>
        </w:tabs>
      </w:pPr>
      <w:r>
        <w:lastRenderedPageBreak/>
        <w:t>violência doméstica, com foco prioritário naquelas que vivem nas periferias da cidade de São Paulo e que possuem filhos menores sob</w:t>
      </w:r>
    </w:p>
    <w:p w14:paraId="0EBA376D" w14:textId="77777777" w:rsidR="00404B18" w:rsidRDefault="00404B18" w:rsidP="00404B18">
      <w:pPr>
        <w:tabs>
          <w:tab w:val="left" w:pos="2918"/>
        </w:tabs>
      </w:pPr>
      <w:r>
        <w:t>sua responsabilidade, para garantir proteção imediata, acolhimento digno e condições básicas para que elas possam reconstruir suas</w:t>
      </w:r>
    </w:p>
    <w:p w14:paraId="18ED11DD" w14:textId="77777777" w:rsidR="00404B18" w:rsidRDefault="00404B18" w:rsidP="00404B18">
      <w:pPr>
        <w:tabs>
          <w:tab w:val="left" w:pos="2918"/>
        </w:tabs>
      </w:pPr>
      <w:r>
        <w:t>vidas com segurança e estabilidade. A violência doméstica é uma realidade que atinge milhares de mulheres, especialmente aquelas que residem em regiões periféricas da</w:t>
      </w:r>
    </w:p>
    <w:p w14:paraId="59D306C7" w14:textId="77777777" w:rsidR="00404B18" w:rsidRDefault="00404B18" w:rsidP="00404B18">
      <w:pPr>
        <w:tabs>
          <w:tab w:val="left" w:pos="2918"/>
        </w:tabs>
      </w:pPr>
      <w:r>
        <w:t>cidade de São Paulo e que, muitas vezes, são responsáveis por filhos menores de idade. Essas mulheres enfrentam não apenas a</w:t>
      </w:r>
    </w:p>
    <w:p w14:paraId="0FB7E2AD" w14:textId="77777777" w:rsidR="00404B18" w:rsidRDefault="00404B18" w:rsidP="00404B18">
      <w:pPr>
        <w:tabs>
          <w:tab w:val="left" w:pos="2918"/>
        </w:tabs>
      </w:pPr>
      <w:r>
        <w:t>agressão física, psicológica e emocional, mas também a escassez de recursos para romper com o ciclo de violência e garantir a proteção de suas famílias. De acordo com o Parecer da Comissão de Administração Pública já existe no município de São Paulo diversos normativos e programas que versam sobre assuntos correlatos, embora o presente projeto de lei procure agregar a esse sistema uma modalidade específica de moradia gratuita e emergencial, com resposta em prazo máximo de 24 horas, o que lhe confere contorno próprio, ainda que inserido no</w:t>
      </w:r>
    </w:p>
    <w:p w14:paraId="1C7FCD48" w14:textId="77777777" w:rsidR="00404B18" w:rsidRDefault="00404B18" w:rsidP="00404B18">
      <w:pPr>
        <w:tabs>
          <w:tab w:val="left" w:pos="2918"/>
        </w:tabs>
      </w:pPr>
      <w:r>
        <w:t>mesmo campo temático de proteção social e habitacional às vítimas. Na prática, o projeto busca enfrentar um problema muito concreto: muitas mulheres conseguem denunciar, obter orientação ou até medida protetiva, mas encontram extrema dificuldade para sair de casa</w:t>
      </w:r>
    </w:p>
    <w:p w14:paraId="6DF3131A" w14:textId="77777777" w:rsidR="00404B18" w:rsidRDefault="00404B18" w:rsidP="00404B18">
      <w:pPr>
        <w:tabs>
          <w:tab w:val="left" w:pos="2918"/>
        </w:tabs>
      </w:pPr>
      <w:r>
        <w:t>com segurança, sobretudo quando dependem financeiramente do agressor ou não dispõem de rede familiar de apoio. A moradia emergencial funcionaria como uma ponte entre a situação de risco iminente e a reorganização da vida da vítima, reduzindo a chance de</w:t>
      </w:r>
    </w:p>
    <w:p w14:paraId="2130C562" w14:textId="77777777" w:rsidR="00404B18" w:rsidRDefault="00404B18" w:rsidP="00404B18">
      <w:pPr>
        <w:tabs>
          <w:tab w:val="left" w:pos="2918"/>
        </w:tabs>
      </w:pPr>
      <w:r>
        <w:t>retorno forçado ao convívio violento. O Mapa da Violência de 2015 aponta que 33,2% dos homicídios de mulheres no mundo são cometidos pelos parceiros, esses são</w:t>
      </w:r>
    </w:p>
    <w:p w14:paraId="6710FAAB" w14:textId="77777777" w:rsidR="00404B18" w:rsidRDefault="00404B18" w:rsidP="00404B18">
      <w:pPr>
        <w:tabs>
          <w:tab w:val="left" w:pos="2918"/>
        </w:tabs>
      </w:pPr>
      <w:r>
        <w:t xml:space="preserve">chamados de </w:t>
      </w:r>
      <w:proofErr w:type="spellStart"/>
      <w:r>
        <w:t>feminicidios</w:t>
      </w:r>
      <w:proofErr w:type="spellEnd"/>
      <w:r>
        <w:t>. No Brasil durante muito tempo, grande parte desses crimes foram interpretados como crime passional ou</w:t>
      </w:r>
    </w:p>
    <w:p w14:paraId="116D698F" w14:textId="77777777" w:rsidR="00404B18" w:rsidRDefault="00404B18" w:rsidP="00404B18">
      <w:pPr>
        <w:tabs>
          <w:tab w:val="left" w:pos="2918"/>
        </w:tabs>
      </w:pPr>
      <w:r>
        <w:t xml:space="preserve">crime em nome da “honra” porque eram consequências de uma violência gerada por problemas conjugais ou de relacionamento entre parceiros amorosos. Hoje há uma nova compreensão que entende que este tipo de violência está relacionado a questões culturais e ao papel da mulher na sociedade. A criação de um termo próprio, o </w:t>
      </w:r>
      <w:proofErr w:type="spellStart"/>
      <w:r>
        <w:t>feminicidio</w:t>
      </w:r>
      <w:proofErr w:type="spellEnd"/>
      <w:r>
        <w:t>, que classifica o tipo de violência pode contribuir para evidenciar o problema, retirando a naturalização do mesmo e que há necessidade de que a sociedade busque alternativas para</w:t>
      </w:r>
    </w:p>
    <w:p w14:paraId="2D775AF5" w14:textId="77777777" w:rsidR="00404B18" w:rsidRDefault="00404B18" w:rsidP="00404B18">
      <w:pPr>
        <w:tabs>
          <w:tab w:val="left" w:pos="2918"/>
        </w:tabs>
      </w:pPr>
      <w:r>
        <w:lastRenderedPageBreak/>
        <w:t>superação desta grave situação. De acordo com o Fórum Brasileiro de Segurança Pública, no documento Retratos do Feminicídio no Brasil, as mulheres ainda não têm a plena concretização de seus direitos, incluindo o direito a uma vida livre de violência. Só em 2025, foram 1.568 mulheres vítimas de</w:t>
      </w:r>
    </w:p>
    <w:p w14:paraId="56E931D5" w14:textId="77777777" w:rsidR="00404B18" w:rsidRDefault="00404B18" w:rsidP="00404B18">
      <w:pPr>
        <w:tabs>
          <w:tab w:val="left" w:pos="2918"/>
        </w:tabs>
      </w:pPr>
      <w:r>
        <w:t>feminicídio no Brasil, crescimento de 4,7% em relação ao ano anterior. Desde a tipificação da lei do feminicídio, em março de 2015, ao menos 13.703 mulheres já foram assassinadas por sua condição de ser mulher. Os dados refletem a quantidade de boletins de</w:t>
      </w:r>
    </w:p>
    <w:p w14:paraId="4B29A77F" w14:textId="77777777" w:rsidR="00404B18" w:rsidRDefault="00404B18" w:rsidP="00404B18">
      <w:pPr>
        <w:tabs>
          <w:tab w:val="left" w:pos="2918"/>
        </w:tabs>
      </w:pPr>
      <w:r>
        <w:t>ocorrência produzidos pelas Polícias Civis de todo o país que assumiram essa tipificação. No site da Secretaria Municipal da Saúde (SMS) da Prefeitura Municipal de São Paulo (PMSP) na Area Técnica de Saúde Integral da Pessoa em Situação de Violência consta o documento Violência Doméstica e Sexual contra a Mulher que trata sobre a violência doméstica que é</w:t>
      </w:r>
    </w:p>
    <w:p w14:paraId="180B9B4A" w14:textId="77777777" w:rsidR="00404B18" w:rsidRDefault="00404B18" w:rsidP="00404B18">
      <w:pPr>
        <w:tabs>
          <w:tab w:val="left" w:pos="2918"/>
        </w:tabs>
      </w:pPr>
      <w:r>
        <w:t>aquela exercida, na maioria dos casos, por homens contra as mulheres e meninas (principalmente por maridos ou parceiros íntimos) e</w:t>
      </w:r>
    </w:p>
    <w:p w14:paraId="10512BCB" w14:textId="77777777" w:rsidR="00404B18" w:rsidRDefault="00404B18" w:rsidP="00404B18">
      <w:pPr>
        <w:tabs>
          <w:tab w:val="left" w:pos="2918"/>
        </w:tabs>
      </w:pPr>
      <w:r>
        <w:t>ocorre principalmente no espaço da casa. É uma questão social ainda de grande incidência e se constitui num sério problema de saúde pública. A tipificação das principais formas da violência doméstica e familiar contra mulher foi consolidada na Lei Maria da Penha, Lei</w:t>
      </w:r>
    </w:p>
    <w:p w14:paraId="1509D048" w14:textId="77777777" w:rsidR="00404B18" w:rsidRDefault="00404B18" w:rsidP="00404B18">
      <w:pPr>
        <w:tabs>
          <w:tab w:val="left" w:pos="2918"/>
        </w:tabs>
      </w:pPr>
      <w:r>
        <w:t>11.340/2006, sendo elas, a violência física, psicológica, moral e patrimonial. Como desdobramento da Lei, em várias localidades já vem</w:t>
      </w:r>
    </w:p>
    <w:p w14:paraId="34882336" w14:textId="77777777" w:rsidR="00404B18" w:rsidRDefault="00404B18" w:rsidP="00404B18">
      <w:pPr>
        <w:tabs>
          <w:tab w:val="left" w:pos="2918"/>
        </w:tabs>
      </w:pPr>
      <w:r>
        <w:t>se constituindo uma Rede de Atendimento dos serviços e/ou profissionais que contribui para a superação da fragmentação do atendimento e a construção de atendimento multiprofissional e fluxograma da atenção às mulheres em situação de violência. Pesquisas da Organização Pan-Americana da Saúde (OPAS) resultaram no termo de rota crítica, utilizado nos serviços que constituem a rede de</w:t>
      </w:r>
    </w:p>
    <w:p w14:paraId="65BBAC47" w14:textId="77777777" w:rsidR="00404B18" w:rsidRDefault="00404B18" w:rsidP="00404B18">
      <w:pPr>
        <w:tabs>
          <w:tab w:val="left" w:pos="2918"/>
        </w:tabs>
      </w:pPr>
      <w:r>
        <w:t>atenção para designar o trajeto de mulheres atingidas por esse tipo de violência, o que permite detectar as repostas e as dificuldades encontradas por elas quando buscam ajuda. A violência sexual como um fenômeno universal atinge, indistintamente, mulheres de todas as classes sociais, etnias, religiões e culturas. A prevalência é maior em grupos de maior vulnerabilidade, tais como, crianças em abandono, adolescentes e deficientes mentais. A</w:t>
      </w:r>
    </w:p>
    <w:p w14:paraId="6BCCFB94" w14:textId="77777777" w:rsidR="00404B18" w:rsidRDefault="00404B18" w:rsidP="00404B18">
      <w:pPr>
        <w:tabs>
          <w:tab w:val="left" w:pos="2918"/>
        </w:tabs>
      </w:pPr>
      <w:r>
        <w:t>subnotificação, reflexo da relutância e do constrangimento da mulher em denunciar o ocorrido, decorre de inúmeros fatores. As vítimas</w:t>
      </w:r>
    </w:p>
    <w:p w14:paraId="31DC4A2A" w14:textId="77777777" w:rsidR="00404B18" w:rsidRDefault="00404B18" w:rsidP="00404B18">
      <w:pPr>
        <w:tabs>
          <w:tab w:val="left" w:pos="2918"/>
        </w:tabs>
      </w:pPr>
      <w:r>
        <w:t xml:space="preserve">temem o interrogatório policial, o atendimento do Instituto Médico Legal (IML), a divulgação pela imprensa e a ameaça de vingança do agressor. A mulher teme, </w:t>
      </w:r>
      <w:r>
        <w:lastRenderedPageBreak/>
        <w:t xml:space="preserve">principalmente, não ser acreditada. O efeito é, sobretudo social, pois afeta o bem-estar, a segurança, as possibilidades de educação e desenvolvimento pessoal e </w:t>
      </w:r>
      <w:proofErr w:type="spellStart"/>
      <w:proofErr w:type="gramStart"/>
      <w:r>
        <w:t>auto-estima</w:t>
      </w:r>
      <w:proofErr w:type="spellEnd"/>
      <w:proofErr w:type="gramEnd"/>
      <w:r>
        <w:t xml:space="preserve"> das mulheres. Na rede de equipamentos da Secretaria da Assistência e Desenvolvimento Social (SMADS) o equipamento Centro de Acolhida Especial</w:t>
      </w:r>
    </w:p>
    <w:p w14:paraId="6B15E839" w14:textId="77777777" w:rsidR="00404B18" w:rsidRDefault="00404B18" w:rsidP="00404B18">
      <w:pPr>
        <w:tabs>
          <w:tab w:val="left" w:pos="2918"/>
        </w:tabs>
      </w:pPr>
      <w:r>
        <w:t>(CAE) para Mulheres em Situação de Violência acolhe mulheres acompanhadas ou não de seus filhos (os de sexo masculinos até 18 anos</w:t>
      </w:r>
    </w:p>
    <w:p w14:paraId="427AD109" w14:textId="77777777" w:rsidR="00404B18" w:rsidRDefault="00404B18" w:rsidP="00404B18">
      <w:pPr>
        <w:tabs>
          <w:tab w:val="left" w:pos="2918"/>
        </w:tabs>
      </w:pPr>
      <w:r>
        <w:t>incompletos) em situação de violência doméstica, abusos e exploração em risco iminente de morte, oferecendo proteção integral,</w:t>
      </w:r>
    </w:p>
    <w:p w14:paraId="7CB229B2" w14:textId="77777777" w:rsidR="00404B18" w:rsidRDefault="00404B18" w:rsidP="00404B18">
      <w:pPr>
        <w:tabs>
          <w:tab w:val="left" w:pos="2918"/>
        </w:tabs>
      </w:pPr>
      <w:r>
        <w:t>condições para o fortalecimento de sua autoestima, autonomia pessoal e social, contribuindo para a superação e prevenção da situação de violência e ruptura de vínculos. Atende mulheres acima de 18 anos, acompanhadas ou não de seus filhos, (os de sexo masculinos até</w:t>
      </w:r>
    </w:p>
    <w:p w14:paraId="59F6934A" w14:textId="77777777" w:rsidR="00404B18" w:rsidRDefault="00404B18" w:rsidP="00404B18">
      <w:pPr>
        <w:tabs>
          <w:tab w:val="left" w:pos="2918"/>
        </w:tabs>
      </w:pPr>
      <w:r>
        <w:t>18 anos incompletos) que estejam em situação de violência doméstica e de gênero com risco iminente de morte. A solicitação de vaga para esse serviço, é por meio de encaminhamento do Centro de Referência Especializado da Assistência Social (CREAS). O serviço</w:t>
      </w:r>
    </w:p>
    <w:p w14:paraId="637D6103" w14:textId="77777777" w:rsidR="00404B18" w:rsidRDefault="00404B18" w:rsidP="00404B18">
      <w:pPr>
        <w:tabs>
          <w:tab w:val="left" w:pos="2918"/>
        </w:tabs>
      </w:pPr>
      <w:r>
        <w:t>oferece local seguro e protegido, de caráter sigiloso, 24 horas, com atendimento de equipe técnica especializada para realizar a escuta, a</w:t>
      </w:r>
    </w:p>
    <w:p w14:paraId="5BFF95D7" w14:textId="77777777" w:rsidR="00404B18" w:rsidRDefault="00404B18" w:rsidP="00404B18">
      <w:pPr>
        <w:tabs>
          <w:tab w:val="left" w:pos="2918"/>
        </w:tabs>
      </w:pPr>
      <w:r>
        <w:t>avaliação do risco iminente de morte, e encaminhamentos efetivos que garantam às mulheres sua integridade física e emocional e</w:t>
      </w:r>
    </w:p>
    <w:p w14:paraId="77244C91" w14:textId="77777777" w:rsidR="00404B18" w:rsidRDefault="00404B18" w:rsidP="00404B18">
      <w:pPr>
        <w:tabs>
          <w:tab w:val="left" w:pos="2918"/>
        </w:tabs>
      </w:pPr>
      <w:r>
        <w:t>oportunizem a construção de novos projetos de vida. No site da Secretaria Municipal de Direitos Humanos e Cidadania existe informação sobre a rede de atendimento da mulher, onde</w:t>
      </w:r>
    </w:p>
    <w:p w14:paraId="469A535B" w14:textId="77777777" w:rsidR="00404B18" w:rsidRDefault="00404B18" w:rsidP="00404B18">
      <w:pPr>
        <w:tabs>
          <w:tab w:val="left" w:pos="2918"/>
        </w:tabs>
      </w:pPr>
      <w:r>
        <w:t xml:space="preserve">constam os seguintes equipamentos: Casa da Mulher Brasileira, Centros de Defesa e de Convivência da Mulher, Postos Avançados e Unidade Móvel de atendimento às mulheres. A Câmara Municipal de São Paulo criou em março de 2020 um hotsite para campanha de combate </w:t>
      </w:r>
      <w:proofErr w:type="spellStart"/>
      <w:r>
        <w:t>a</w:t>
      </w:r>
      <w:proofErr w:type="spellEnd"/>
      <w:r>
        <w:t xml:space="preserve"> violência da mulher e uma CPI para debate sobre as dificuldades enfrentadas pela mulher vítima de violência e para acompanhamento das ações do executivo voltadas para esta situação difícil enfrentada por grande parte da população feminina. Como a mulher ainda enfrenta em sua rotina diária diversas dificuldades com relação ao seu papel na sociedade como o preconceito,</w:t>
      </w:r>
    </w:p>
    <w:p w14:paraId="297CAD7D" w14:textId="77777777" w:rsidR="00404B18" w:rsidRDefault="00404B18" w:rsidP="00404B18">
      <w:pPr>
        <w:tabs>
          <w:tab w:val="left" w:pos="2918"/>
        </w:tabs>
      </w:pPr>
      <w:r>
        <w:t xml:space="preserve">como a dupla jornada de trabalho, incluindo o trabalho fora de casa e as demais atividades </w:t>
      </w:r>
      <w:proofErr w:type="gramStart"/>
      <w:r>
        <w:t>domesticas</w:t>
      </w:r>
      <w:proofErr w:type="gramEnd"/>
      <w:r>
        <w:t xml:space="preserve"> e de cuidado com familiares, assim como a violência doméstica, as consequências desses eventos contribui para a diminuição da sua qualidade de vida, podendo gerar adoecimento, incapacidades e até a morte. Em função da relevância desse tema que é um problema social, cultural e de saúde </w:t>
      </w:r>
      <w:r>
        <w:lastRenderedPageBreak/>
        <w:t xml:space="preserve">pública há necessidade de incremento de políticas públicas e ações </w:t>
      </w:r>
      <w:proofErr w:type="spellStart"/>
      <w:r>
        <w:t>intersecretariais</w:t>
      </w:r>
      <w:proofErr w:type="spellEnd"/>
      <w:r>
        <w:t xml:space="preserve"> para o enfrentamento e combate da violência de gênero dada a sua complexidade. Diante do exposto, a Comissão de Saúde, Promoção Social, Trabalho e Mulher, no âmbito de sua competência, entende que a propositura é meritória e deve prosperar, sendo, portanto, o parecer favorável. Sala da Comissão de Saúde, Promoção Social, Trabalho e Mulher, em 19/08/2026. Ver. Ely Teruel (MDB) - Presidente Ver. Dra. Sandra Tadeu (PL) - Vice-presidente Ver. Adilson Amadeu (UNIÃO)</w:t>
      </w:r>
    </w:p>
    <w:p w14:paraId="2F186FAD" w14:textId="77777777" w:rsidR="00404B18" w:rsidRDefault="00404B18" w:rsidP="00404B18">
      <w:pPr>
        <w:tabs>
          <w:tab w:val="left" w:pos="2918"/>
        </w:tabs>
      </w:pPr>
      <w:r>
        <w:t>Ver. Amanda Paschoal (PSOL) - Relatoria Ver. Roberto Tripoli (PV)</w:t>
      </w:r>
    </w:p>
    <w:p w14:paraId="5780FC77" w14:textId="77777777" w:rsidR="00404B18" w:rsidRDefault="00404B18" w:rsidP="00404B18">
      <w:pPr>
        <w:tabs>
          <w:tab w:val="left" w:pos="2918"/>
        </w:tabs>
      </w:pPr>
      <w:r>
        <w:t>Ver. Simone Ganem (PODE)</w:t>
      </w:r>
    </w:p>
    <w:p w14:paraId="0A62390D" w14:textId="77777777" w:rsidR="00404B18" w:rsidRDefault="00404B18" w:rsidP="00404B18">
      <w:pPr>
        <w:tabs>
          <w:tab w:val="left" w:pos="2918"/>
        </w:tabs>
      </w:pPr>
      <w:r>
        <w:t xml:space="preserve">PARECER N° 1167/2026 DA COMISSÃO DE SAÚDE, PROMOÇÃO SOCIAL, TRABALHO E MULHER SOBRE O PROJETO DE LEI Nº 909/2025. Trata-se de projeto de lei, de autoria da nobre vereadora Keit Lima, que institui o Programa de Combate à </w:t>
      </w:r>
      <w:proofErr w:type="spellStart"/>
      <w:r>
        <w:t>Ciberpedofilia</w:t>
      </w:r>
      <w:proofErr w:type="spellEnd"/>
      <w:r>
        <w:t xml:space="preserve">, e dá outras providências. A Comissão de Constituição, Justiça e Legislação Participativa opinou pela legalidade do Projeto de Lei, em forma de substitutivo que visa excluir os </w:t>
      </w:r>
      <w:proofErr w:type="spellStart"/>
      <w:r>
        <w:t>arts</w:t>
      </w:r>
      <w:proofErr w:type="spellEnd"/>
      <w:r>
        <w:t>. 5º e 7º para que o projeto não incida em inconstitucionalidade por violação ao princípio constitucional da harmonia e</w:t>
      </w:r>
    </w:p>
    <w:p w14:paraId="753356B3" w14:textId="77777777" w:rsidR="00404B18" w:rsidRDefault="00404B18" w:rsidP="00404B18">
      <w:pPr>
        <w:tabs>
          <w:tab w:val="left" w:pos="2918"/>
        </w:tabs>
      </w:pPr>
      <w:r>
        <w:t>independência entre os poderes, inclusive através da fixação de prazo ao Executivo para regulamentação da Lei (nesse sentido, vide</w:t>
      </w:r>
    </w:p>
    <w:p w14:paraId="4D920CF5" w14:textId="77777777" w:rsidR="00404B18" w:rsidRDefault="00404B18" w:rsidP="00404B18">
      <w:pPr>
        <w:tabs>
          <w:tab w:val="left" w:pos="2918"/>
        </w:tabs>
      </w:pPr>
      <w:r>
        <w:t xml:space="preserve">TJSP, </w:t>
      </w:r>
      <w:proofErr w:type="spellStart"/>
      <w:proofErr w:type="gramStart"/>
      <w:r>
        <w:t>ADIs</w:t>
      </w:r>
      <w:proofErr w:type="spellEnd"/>
      <w:proofErr w:type="gramEnd"/>
      <w:r>
        <w:t xml:space="preserve"> nº 2058997 68.2025.8.26.0000 e nº 2045978-29.2024.8.26.0000). A Comissão de Administração Pública emitiu parecer favorável ao exposto no substitutivo exarado pela CCJLP. A presente proposição tem por objetivo instituir o Programa Municipal de Combate à </w:t>
      </w:r>
      <w:proofErr w:type="spellStart"/>
      <w:r>
        <w:t>Ciberpedofilia</w:t>
      </w:r>
      <w:proofErr w:type="spellEnd"/>
      <w:r>
        <w:t>, voltado à prevenção e ao enfrentamento de crimes sexuais praticados contra crianças e adolescentes em ambientes digitais. O texto estabelece diretrizes</w:t>
      </w:r>
    </w:p>
    <w:p w14:paraId="7707FDA0" w14:textId="77777777" w:rsidR="00404B18" w:rsidRDefault="00404B18" w:rsidP="00404B18">
      <w:pPr>
        <w:tabs>
          <w:tab w:val="left" w:pos="2918"/>
        </w:tabs>
      </w:pPr>
      <w:r>
        <w:t>relacionadas à proteção integral da infância e adolescência, à promoção de ações educativas e de conscientização, à atuação articulada entre órgãos públicos e à cooperação com entidades da sociedade civil e iniciativa privada, além de prever mecanismos de denúncia e</w:t>
      </w:r>
    </w:p>
    <w:p w14:paraId="0899CF2D" w14:textId="77777777" w:rsidR="00404B18" w:rsidRDefault="00404B18" w:rsidP="00404B18">
      <w:pPr>
        <w:tabs>
          <w:tab w:val="left" w:pos="2918"/>
        </w:tabs>
      </w:pPr>
      <w:r>
        <w:t>atendimento multidisciplinar às vítimas. A matéria insere-se no âmbito das políticas públicas de proteção social e promoção dos direitos humanos de crianças e adolescentes, especialmente diante da crescente incidência de práticas de exploração sexual infantojuvenil mediadas por tecnologias digitais. Nesse</w:t>
      </w:r>
    </w:p>
    <w:p w14:paraId="0FADA221" w14:textId="77777777" w:rsidR="00404B18" w:rsidRDefault="00404B18" w:rsidP="00404B18">
      <w:pPr>
        <w:tabs>
          <w:tab w:val="left" w:pos="2918"/>
        </w:tabs>
      </w:pPr>
      <w:r>
        <w:t xml:space="preserve">sentido, a proposta demonstra consonância com os princípios previstos no artigo 227 da Constituição Federal, bem como com as diretrizes estabelecidas pelo </w:t>
      </w:r>
      <w:r>
        <w:lastRenderedPageBreak/>
        <w:t>Estatuto da Criança e do Adolescente — ECA (Lei Federal nº 8.069/1990), que asseguram prioridade</w:t>
      </w:r>
    </w:p>
    <w:p w14:paraId="133188FC" w14:textId="77777777" w:rsidR="00404B18" w:rsidRDefault="00404B18" w:rsidP="00404B18">
      <w:pPr>
        <w:tabs>
          <w:tab w:val="left" w:pos="2918"/>
        </w:tabs>
      </w:pPr>
      <w:r>
        <w:t xml:space="preserve">absoluta à proteção integral da infância e adolescência. Sob o ponto de vista técnico, observa-se que o fenômeno da </w:t>
      </w:r>
      <w:proofErr w:type="spellStart"/>
      <w:r>
        <w:t>ciberexploração</w:t>
      </w:r>
      <w:proofErr w:type="spellEnd"/>
      <w:r>
        <w:t xml:space="preserve"> sexual infantil possui elevada complexidade e demanda</w:t>
      </w:r>
    </w:p>
    <w:p w14:paraId="6E60D97A" w14:textId="77777777" w:rsidR="00404B18" w:rsidRDefault="00404B18" w:rsidP="00404B18">
      <w:pPr>
        <w:tabs>
          <w:tab w:val="left" w:pos="2918"/>
        </w:tabs>
      </w:pPr>
      <w:r>
        <w:t xml:space="preserve">respostas institucionais intersetoriais. Estudos nacionais e internacionais apontam que a expansão do acesso às tecnologias digitais, associada à facilidade de compartilhamento de </w:t>
      </w:r>
      <w:proofErr w:type="spellStart"/>
      <w:r>
        <w:t>conteúdos</w:t>
      </w:r>
      <w:proofErr w:type="spellEnd"/>
      <w:r>
        <w:t xml:space="preserve"> e ao anonimato proporcionado pelos ambientes virtuais, ampliou</w:t>
      </w:r>
    </w:p>
    <w:p w14:paraId="1484046D" w14:textId="77777777" w:rsidR="00404B18" w:rsidRDefault="00404B18" w:rsidP="00404B18">
      <w:pPr>
        <w:tabs>
          <w:tab w:val="left" w:pos="2918"/>
        </w:tabs>
      </w:pPr>
      <w:r>
        <w:t>significativamente os riscos relacionados ao aliciamento, à exposição indevida e à circulação de material de abuso sexual infantil</w:t>
      </w:r>
    </w:p>
    <w:p w14:paraId="27AA7AAD" w14:textId="77777777" w:rsidR="00404B18" w:rsidRDefault="00404B18" w:rsidP="00404B18">
      <w:pPr>
        <w:tabs>
          <w:tab w:val="left" w:pos="2918"/>
        </w:tabs>
      </w:pPr>
      <w:r>
        <w:t>(SAFERNET BRASIL, 2019; SANTO, 2015). A literatura especializada demonstra que a exposição de crianças e adolescentes a práticas de violência sexual em ambiente digital</w:t>
      </w:r>
    </w:p>
    <w:p w14:paraId="523117B6" w14:textId="77777777" w:rsidR="00404B18" w:rsidRDefault="00404B18" w:rsidP="00404B18">
      <w:pPr>
        <w:tabs>
          <w:tab w:val="left" w:pos="2918"/>
        </w:tabs>
      </w:pPr>
      <w:r>
        <w:t>produz impactos severos sobre o desenvolvimento psicológico, emocional e social das vítimas, frequentemente associados a quadros de</w:t>
      </w:r>
    </w:p>
    <w:p w14:paraId="40678B4A" w14:textId="77777777" w:rsidR="00404B18" w:rsidRDefault="00404B18" w:rsidP="00404B18">
      <w:pPr>
        <w:tabs>
          <w:tab w:val="left" w:pos="2918"/>
        </w:tabs>
      </w:pPr>
      <w:r>
        <w:t>ansiedade, depressão, transtorno de estresse pós-traumático, isolamento social e dificuldades de aprendizagem (BALBINOTTI, 2009;</w:t>
      </w:r>
    </w:p>
    <w:p w14:paraId="5F577E7B" w14:textId="77777777" w:rsidR="00404B18" w:rsidRDefault="00404B18" w:rsidP="00404B18">
      <w:pPr>
        <w:tabs>
          <w:tab w:val="left" w:pos="2918"/>
        </w:tabs>
      </w:pPr>
      <w:r>
        <w:t>BERISTAIN, 2000). Além disso, a recorrência de casos envolvendo ambientes familiares ou círculos de confiança evidencia a necessidade de fortalecimento da rede de proteção e de protocolos especializados de acolhimento e atendimento. Nesse contexto, a proposição revela pertinência ao prever ações de caráter preventivo, educativo e assistencial, associadas à</w:t>
      </w:r>
    </w:p>
    <w:p w14:paraId="3A9C2467" w14:textId="77777777" w:rsidR="00404B18" w:rsidRDefault="00404B18" w:rsidP="00404B18">
      <w:pPr>
        <w:tabs>
          <w:tab w:val="left" w:pos="2918"/>
        </w:tabs>
      </w:pPr>
      <w:r>
        <w:t>capacitação de profissionais e à integração entre diferentes órgãos públicos e instituições da sociedade civil. A abordagem proposta encontra respaldo em recomendações técnicas de organismos especializados, que indicam a necessidade de articulação entre políticas de educação digital, assistência social, saúde, segurança pública e direitos humanos para o enfrentamento eficaz da violência sexual</w:t>
      </w:r>
    </w:p>
    <w:p w14:paraId="132D5697" w14:textId="77777777" w:rsidR="00404B18" w:rsidRDefault="00404B18" w:rsidP="00404B18">
      <w:pPr>
        <w:tabs>
          <w:tab w:val="left" w:pos="2918"/>
        </w:tabs>
      </w:pPr>
      <w:r>
        <w:t>infantojuvenil em meios digitais (VIEIRA et al., 2017; CAVALCANTI, 2018). Merece destaque, ainda, a previsão de fortalecimento e divulgação de canais seguros de denúncia, como o Disque 100, mecanismo</w:t>
      </w:r>
    </w:p>
    <w:p w14:paraId="4D5FAA28" w14:textId="77777777" w:rsidR="00404B18" w:rsidRDefault="00404B18" w:rsidP="00404B18">
      <w:pPr>
        <w:tabs>
          <w:tab w:val="left" w:pos="2918"/>
        </w:tabs>
      </w:pPr>
      <w:r>
        <w:t>reconhecido nacionalmente como importante instrumento de identificação e encaminhamento de violações de direitos de crianças e</w:t>
      </w:r>
    </w:p>
    <w:p w14:paraId="6A0FAF6C" w14:textId="77777777" w:rsidR="00404B18" w:rsidRDefault="00404B18" w:rsidP="00404B18">
      <w:pPr>
        <w:tabs>
          <w:tab w:val="left" w:pos="2918"/>
        </w:tabs>
      </w:pPr>
      <w:r>
        <w:t>adolescentes. A medida contribui para ampliar a capacidade de resposta da rede de proteção e favorecer a notificação de situações de</w:t>
      </w:r>
    </w:p>
    <w:p w14:paraId="76C9BBD7" w14:textId="77777777" w:rsidR="00404B18" w:rsidRDefault="00404B18" w:rsidP="00404B18">
      <w:pPr>
        <w:tabs>
          <w:tab w:val="left" w:pos="2918"/>
        </w:tabs>
      </w:pPr>
      <w:r>
        <w:lastRenderedPageBreak/>
        <w:t>violência frequentemente subnotificadas. No âmbito desta Comissão, importa ressaltar que o Substitutivo aprovado pela Comissão de Constituição, Justiça e Legislação</w:t>
      </w:r>
    </w:p>
    <w:p w14:paraId="34381FBE" w14:textId="77777777" w:rsidR="00404B18" w:rsidRDefault="00404B18" w:rsidP="00404B18">
      <w:pPr>
        <w:tabs>
          <w:tab w:val="left" w:pos="2918"/>
        </w:tabs>
      </w:pPr>
      <w:r>
        <w:t>Participativa aprimora a redação da matéria, conferindo maior adequação técnica e segurança jurídica à proposição, sem descaracterizar</w:t>
      </w:r>
    </w:p>
    <w:p w14:paraId="68268095" w14:textId="77777777" w:rsidR="00404B18" w:rsidRDefault="00404B18" w:rsidP="00404B18">
      <w:pPr>
        <w:tabs>
          <w:tab w:val="left" w:pos="2918"/>
        </w:tabs>
      </w:pPr>
      <w:r>
        <w:t>seus objetivos centrais de proteção integral à infância e adolescência. Diante do exposto, considerando a relevância social da matéria, sua compatibilidade com as diretrizes de promoção dos direitos da</w:t>
      </w:r>
    </w:p>
    <w:p w14:paraId="281FB5B0" w14:textId="77777777" w:rsidR="00404B18" w:rsidRDefault="00404B18" w:rsidP="00404B18">
      <w:pPr>
        <w:tabs>
          <w:tab w:val="left" w:pos="2918"/>
        </w:tabs>
      </w:pPr>
      <w:r>
        <w:t>criança e do adolescente e a pertinência das medidas propostas para fortalecimento das políticas públicas de prevenção e</w:t>
      </w:r>
    </w:p>
    <w:p w14:paraId="6389E771" w14:textId="77777777" w:rsidR="00404B18" w:rsidRDefault="00404B18" w:rsidP="00404B18">
      <w:pPr>
        <w:tabs>
          <w:tab w:val="left" w:pos="2918"/>
        </w:tabs>
      </w:pPr>
      <w:r>
        <w:t>enfrentamento da violência sexual em ambiente digital, a Comissão de Saúde, Promoção Social, Trabalho e Mulher manifesta-se</w:t>
      </w:r>
    </w:p>
    <w:p w14:paraId="3C80D755" w14:textId="77777777" w:rsidR="00404B18" w:rsidRDefault="00404B18" w:rsidP="00404B18">
      <w:pPr>
        <w:tabs>
          <w:tab w:val="left" w:pos="2918"/>
        </w:tabs>
      </w:pPr>
      <w:r>
        <w:t>Favoravelmente ao Substitutivo apresentado pela Comissão de Constituição, Justiça e Legislação Participativa. Sala da Comissão de Saúde, Promoção Social, Trabalho e Mulher, em 19/08/2026. Ver. Ely Teruel (MDB) - Presidente Ver. Dra. Sandra Tadeu (PL) - Vice-presidente Ver. Adilson Amadeu (UNIÃO)</w:t>
      </w:r>
    </w:p>
    <w:p w14:paraId="35D1A654" w14:textId="77777777" w:rsidR="00404B18" w:rsidRDefault="00404B18" w:rsidP="00404B18">
      <w:pPr>
        <w:tabs>
          <w:tab w:val="left" w:pos="2918"/>
        </w:tabs>
      </w:pPr>
      <w:r>
        <w:t>Ver. Amanda Paschoal (PSOL) - Relatoria Ver. Roberto Tripoli (PV)</w:t>
      </w:r>
    </w:p>
    <w:p w14:paraId="46E6C52C" w14:textId="77777777" w:rsidR="00404B18" w:rsidRDefault="00404B18" w:rsidP="00404B18">
      <w:pPr>
        <w:tabs>
          <w:tab w:val="left" w:pos="2918"/>
        </w:tabs>
      </w:pPr>
      <w:r>
        <w:t>Ver. Simone Ganem (PODE)</w:t>
      </w:r>
    </w:p>
    <w:p w14:paraId="1E270EF7" w14:textId="77777777" w:rsidR="00404B18" w:rsidRDefault="00404B18" w:rsidP="00404B18">
      <w:pPr>
        <w:tabs>
          <w:tab w:val="left" w:pos="2918"/>
        </w:tabs>
      </w:pPr>
      <w:r>
        <w:t>PARECER N° 1168/2026 DA COMISSÃO DE SAÚDE, PROMOÇÃO SOCIAL, TRABALHO E MULHER SOBRE O PROJETO DE LEI N° 1032/2025. Trata-se de Projeto de Lei apresentado pela nobre Vereadora Sandra Santana, que institui as Diretrizes de Prevenção e Enfrentamento à</w:t>
      </w:r>
    </w:p>
    <w:p w14:paraId="5B75D55F" w14:textId="77777777" w:rsidR="00404B18" w:rsidRDefault="00404B18" w:rsidP="00404B18">
      <w:pPr>
        <w:tabs>
          <w:tab w:val="left" w:pos="2918"/>
        </w:tabs>
      </w:pPr>
      <w:r>
        <w:t>Desnutrição em Pessoas Idosas, no âmbito do município de São Paulo, e dá outras providências. A Comissão de Constituição, Justiça e Legislação Participativa posicionou-se favoravelmente quanto à legalidade da proposta, nos termos do Substitutivo, apresentado com o objetivo de adaptar o texto às regras de técnica legislativa elencadas na Lei Complementar n° 95, de 26 de fevereiro de 1998, assim como, retirar do texto artigos que implicam ingerência na Separação de Poderes, em especial o art. 3º. Conforme exposto na justificativa, a proposta tem por finalidade instituir as Diretrizes de Prevenção e Enfrentamento à Desnutrição em</w:t>
      </w:r>
    </w:p>
    <w:p w14:paraId="52878DD4" w14:textId="77777777" w:rsidR="00404B18" w:rsidRDefault="00404B18" w:rsidP="00404B18">
      <w:pPr>
        <w:tabs>
          <w:tab w:val="left" w:pos="2918"/>
        </w:tabs>
      </w:pPr>
      <w:r>
        <w:t xml:space="preserve">Pessoas Idosas, para com isso promover o envelhecimento saudável, identificar precocemente situações de risco nutricional e articular ações voltadas à segurança alimentar e nutricional dessa população. A autora também relata que “a desnutrição entre pessoas idosas é um problema negligenciado e tem altíssimo impacto para a saúde pública, portanto há o desafio de garantir não apenas a </w:t>
      </w:r>
      <w:r>
        <w:lastRenderedPageBreak/>
        <w:t>longevidade, mas a qualidade de vida na velhice. Alguns dados da Sociedade Brasileira de Geriatria e Gerontologia apontam que entre 30% e 50% dos</w:t>
      </w:r>
    </w:p>
    <w:p w14:paraId="3558E292" w14:textId="77777777" w:rsidR="00404B18" w:rsidRDefault="00404B18" w:rsidP="00404B18">
      <w:pPr>
        <w:tabs>
          <w:tab w:val="left" w:pos="2918"/>
        </w:tabs>
      </w:pPr>
      <w:r>
        <w:t xml:space="preserve">idosos hospitalizados no Brasil apresentam algum grau de desnutrição, sendo este um fator associado à maior morbimortalidade, prolongamento de internações e perda de autonomia funcional”. Como normativa nacional relevante </w:t>
      </w:r>
      <w:proofErr w:type="gramStart"/>
      <w:r>
        <w:t>e também</w:t>
      </w:r>
      <w:proofErr w:type="gramEnd"/>
      <w:r>
        <w:t xml:space="preserve"> apontada na justificativa, a Política Nacional de Alimentação e Nutrição (PNAN), instituída pelo Ministério da Saúde, prevê a implantação de ações de promoção da saúde alimentar e nutricional de idosos na Atenção Primária, por meio da utilização de instrumentos como a Mini Avaliação Nutricional Reduzida (MNA-R), amplamente validada cientificamente. Por fim, na cidade de São Paulo, principalmente nas regiões periféricas se faz necessária a estruturação de uma política municipal permanente, baseada em evidências e com mecanismos de controle social com previsão de metas anuais e indicadores mensuráveis, o que possibilita</w:t>
      </w:r>
    </w:p>
    <w:p w14:paraId="2DF8CBBD" w14:textId="77777777" w:rsidR="00404B18" w:rsidRDefault="00404B18" w:rsidP="00404B18">
      <w:pPr>
        <w:tabs>
          <w:tab w:val="left" w:pos="2918"/>
        </w:tabs>
      </w:pPr>
      <w:r>
        <w:t>o monitoramento constante dos resultados alcançados. Diante do exposto e dos aspectos a serem analisados por este colegiado, a Comissão de Saúde, Promoção Social, Trabalho e Mulher manifesta seu parecer FAVORÁVEL ao Projeto de Lei nº 1032/2025, nos termos do substitutivo apresentado pela Comissão de Constituição, Justiça e Legislação Participativa. Sala da Comissão de Saúde, Promoção Social, Trabalho e Mulher, em 19/08/2026. Ver. Ely Teruel (MDB) - Presidente Ver. Dra. Sandra Tadeu (PL) - Vice-presidente Ver. Adilson Amadeu (UNIÃO)</w:t>
      </w:r>
    </w:p>
    <w:p w14:paraId="3CACDD30" w14:textId="77777777" w:rsidR="00404B18" w:rsidRDefault="00404B18" w:rsidP="00404B18">
      <w:pPr>
        <w:tabs>
          <w:tab w:val="left" w:pos="2918"/>
        </w:tabs>
      </w:pPr>
      <w:r>
        <w:t>Ver. Amanda Paschoal (PSOL)</w:t>
      </w:r>
    </w:p>
    <w:p w14:paraId="4EAE57DF" w14:textId="77777777" w:rsidR="00404B18" w:rsidRDefault="00404B18" w:rsidP="00404B18">
      <w:pPr>
        <w:tabs>
          <w:tab w:val="left" w:pos="2918"/>
        </w:tabs>
      </w:pPr>
      <w:r>
        <w:t>Ver. Roberto Tripoli (PV)</w:t>
      </w:r>
    </w:p>
    <w:p w14:paraId="116DF343" w14:textId="77777777" w:rsidR="00404B18" w:rsidRDefault="00404B18" w:rsidP="00404B18">
      <w:pPr>
        <w:tabs>
          <w:tab w:val="left" w:pos="2918"/>
        </w:tabs>
      </w:pPr>
      <w:r>
        <w:t>Ver. Simone Ganem (PODE) - Relatoria</w:t>
      </w:r>
    </w:p>
    <w:p w14:paraId="4219FE5F" w14:textId="77777777" w:rsidR="00404B18" w:rsidRDefault="00404B18" w:rsidP="00404B18">
      <w:pPr>
        <w:tabs>
          <w:tab w:val="left" w:pos="2918"/>
        </w:tabs>
      </w:pPr>
      <w:r>
        <w:t>PARECER N° 1170/2026 DA COMISSÃO DE SAÚDE, PROMOÇÃO SOCIAL, TRABALHO E MULHER SOBRE O PROJETO DE LEI N° 1071/ 2025. O presente projeto de lei, de autoria dos nobres Vereadores André Santos e Silvinho Leite, institui o Programa Municipal Resgate de Vidas, de atenção integral a crianças e adolescentes vítimas indiretas do feminicídio e da violência doméstica, no âmbito do Município de São Paulo. A Comissão de Constituição, Justiça e Legislação Participativa emitiu parecer de legalidade com Substitutivo a fim de adaptar o texto às</w:t>
      </w:r>
    </w:p>
    <w:p w14:paraId="7A4062B7" w14:textId="77777777" w:rsidR="00404B18" w:rsidRDefault="00404B18" w:rsidP="00404B18">
      <w:pPr>
        <w:tabs>
          <w:tab w:val="left" w:pos="2918"/>
        </w:tabs>
      </w:pPr>
      <w:r>
        <w:t xml:space="preserve">regras de técnica legislativa elencadas na Lei Complementar n° 95, de 26 de fevereiro de 1998, que dispõe sobre a elaboração, redação, alteração e consolidação das leis; de retirar do texto artigos que implicam nítida ingerência na Separação de Poderes, por invadir seara exclusiva do Poder Executivo, bem como de resguardar à proposta contornos mais gerais e abstratos. A Comissão de </w:t>
      </w:r>
      <w:r>
        <w:lastRenderedPageBreak/>
        <w:t>Administração Pública manifestou parecer favorável ao substitutivo apresentado pela Comissão de Constituição, Justiça e</w:t>
      </w:r>
    </w:p>
    <w:p w14:paraId="13180F61" w14:textId="77777777" w:rsidR="00404B18" w:rsidRDefault="00404B18" w:rsidP="00404B18">
      <w:pPr>
        <w:tabs>
          <w:tab w:val="left" w:pos="2918"/>
        </w:tabs>
      </w:pPr>
      <w:r>
        <w:t>Legislação Participativa. A propositura pretende criar o Programa Municipal Resgate de Vidas, destinado à proteção e ao atendimento integral de crianças e</w:t>
      </w:r>
    </w:p>
    <w:p w14:paraId="1D12AA52" w14:textId="77777777" w:rsidR="00404B18" w:rsidRDefault="00404B18" w:rsidP="00404B18">
      <w:pPr>
        <w:tabs>
          <w:tab w:val="left" w:pos="2918"/>
        </w:tabs>
      </w:pPr>
      <w:r>
        <w:t>adolescentes impactados indiretamente pela violência doméstica e pelo feminicídio. A iniciativa tem como foco principal menores que perderam suas mães em decorrência de feminicídio ou que se encontram em situação de vulnerabilidade social e emocional em razão da</w:t>
      </w:r>
    </w:p>
    <w:p w14:paraId="701CDA76" w14:textId="77777777" w:rsidR="00404B18" w:rsidRDefault="00404B18" w:rsidP="00404B18">
      <w:pPr>
        <w:tabs>
          <w:tab w:val="left" w:pos="2918"/>
        </w:tabs>
      </w:pPr>
      <w:r>
        <w:t>violência praticada no ambiente familiar. A proposta prevê atendimento psicológico, social, educacional e jurídico, além de apoio material às famílias responsáveis ou acolhedoras,</w:t>
      </w:r>
    </w:p>
    <w:p w14:paraId="1DF5D66F" w14:textId="77777777" w:rsidR="00404B18" w:rsidRDefault="00404B18" w:rsidP="00404B18">
      <w:pPr>
        <w:tabs>
          <w:tab w:val="left" w:pos="2918"/>
        </w:tabs>
      </w:pPr>
      <w:r>
        <w:t>sempre que necessário. O programa fundamenta-se nos princípios da proteção integral, da prioridade absoluta dos direitos da criança e do adolescente, da convivência familiar e comunitária e da escuta especializada, buscando assegurar um atendimento humanizado e</w:t>
      </w:r>
    </w:p>
    <w:p w14:paraId="7B3013A6" w14:textId="77777777" w:rsidR="00404B18" w:rsidRDefault="00404B18" w:rsidP="00404B18">
      <w:pPr>
        <w:tabs>
          <w:tab w:val="left" w:pos="2918"/>
        </w:tabs>
      </w:pPr>
      <w:r>
        <w:t>adequado às situações de trauma e vulnerabilidade. Entre seus objetivos estão o acolhimento emocional das vítimas indiretas da violência de gênero, a ampliação do acesso aos serviços públicos de saúde, educação e assistência social e o fortalecimento da articulação entre os órgãos da rede de proteção. O texto também</w:t>
      </w:r>
    </w:p>
    <w:p w14:paraId="7E6EB166" w14:textId="77777777" w:rsidR="00404B18" w:rsidRDefault="00404B18" w:rsidP="00404B18">
      <w:pPr>
        <w:tabs>
          <w:tab w:val="left" w:pos="2918"/>
        </w:tabs>
      </w:pPr>
      <w:r>
        <w:t>prevê orientação jurídica às famílias responsáveis, bem como ações voltadas à prevenção da reprodução dos ciclos de violência no ambiente familiar e comunitário, promovendo condições adequadas para o desenvolvimento pleno das crianças e adolescentes</w:t>
      </w:r>
    </w:p>
    <w:p w14:paraId="77989E0C" w14:textId="77777777" w:rsidR="00404B18" w:rsidRDefault="00404B18" w:rsidP="00404B18">
      <w:pPr>
        <w:tabs>
          <w:tab w:val="left" w:pos="2918"/>
        </w:tabs>
      </w:pPr>
      <w:r>
        <w:t>atendidos. O projeto autoriza ainda o Poder Executivo a instituir benefício eventual de apoio financeiro emergencial destinado às famílias que</w:t>
      </w:r>
    </w:p>
    <w:p w14:paraId="34F42646" w14:textId="77777777" w:rsidR="00404B18" w:rsidRDefault="00404B18" w:rsidP="00404B18">
      <w:pPr>
        <w:tabs>
          <w:tab w:val="left" w:pos="2918"/>
        </w:tabs>
      </w:pPr>
      <w:r>
        <w:t>assumirem a guarda ou os cuidados dos beneficiários. O auxílio deverá observar critérios técnicos de vulnerabilidade social e poderá ser acumulado com outros programas de transferência de renda. A identificação das crianças e adolescentes beneficiários será realizada em conjunto com diferentes instituições da rede de proteção,</w:t>
      </w:r>
    </w:p>
    <w:p w14:paraId="156D2546" w14:textId="77777777" w:rsidR="00404B18" w:rsidRDefault="00404B18" w:rsidP="00404B18">
      <w:pPr>
        <w:tabs>
          <w:tab w:val="left" w:pos="2918"/>
        </w:tabs>
      </w:pPr>
      <w:r>
        <w:t>como Conselhos Tutelares, delegacias especializadas, escolas públicas, unidades de saúde, serviços socioassistenciais, Ministério Público, Defensoria Pública e organizações da sociedade civil. O texto estabelece que os encaminhamentos deverão seguir protocolos</w:t>
      </w:r>
    </w:p>
    <w:p w14:paraId="173B99BE" w14:textId="77777777" w:rsidR="00404B18" w:rsidRDefault="00404B18" w:rsidP="00404B18">
      <w:pPr>
        <w:tabs>
          <w:tab w:val="left" w:pos="2918"/>
        </w:tabs>
      </w:pPr>
      <w:r>
        <w:lastRenderedPageBreak/>
        <w:t>interinstitucionais, assegurando atendimento célere, humanizado e proteção ao sigilo e aos dados pessoais dos atendidos. A proposta também prevê parcerias com universidades, centros especializados, organizações sociais e conselhos de direitos, visando</w:t>
      </w:r>
    </w:p>
    <w:p w14:paraId="6485C10C" w14:textId="77777777" w:rsidR="00404B18" w:rsidRDefault="00404B18" w:rsidP="00404B18">
      <w:pPr>
        <w:tabs>
          <w:tab w:val="left" w:pos="2918"/>
        </w:tabs>
      </w:pPr>
      <w:r>
        <w:t>fortalecer a integração das políticas públicas de assistência social, saúde, educação e direitos humanos. Além disso, determina que as ações sejam descentralizadas, considerando as especificidades territoriais e culturais das comunidades atendidas. O projeto define critérios técnicos para seleção e priorização dos beneficiários, contemplando especialmente crianças órfãs de</w:t>
      </w:r>
    </w:p>
    <w:p w14:paraId="7A4BDDF2" w14:textId="77777777" w:rsidR="00404B18" w:rsidRDefault="00404B18" w:rsidP="00404B18">
      <w:pPr>
        <w:tabs>
          <w:tab w:val="left" w:pos="2918"/>
        </w:tabs>
      </w:pPr>
      <w:r>
        <w:t>feminicídio, vítimas recorrentes de violência doméstica e famílias acolhedoras em situação de vulnerabilidade social. Também disciplina</w:t>
      </w:r>
    </w:p>
    <w:p w14:paraId="4B8E7F08" w14:textId="77777777" w:rsidR="00404B18" w:rsidRDefault="00404B18" w:rsidP="00404B18">
      <w:pPr>
        <w:tabs>
          <w:tab w:val="left" w:pos="2918"/>
        </w:tabs>
      </w:pPr>
      <w:r>
        <w:t>os procedimentos de inscrição, análise e acompanhamento dos casos por equipes multidisciplinares compostas por assistentes sociais, psicólogos e outros profissionais especializados. Outro eixo relevante da proposta refere-se aos mecanismos de transparência e controle social, incluindo ampla divulgação das ações do programa, participação dos conselhos municipais no acompanhamento das políticas implementadas e criação de canais permanentes para denúncias, sugestões e reclamações. O texto ainda prevê a definição de metas, indicadores de desempenho e a apresentação periódica de relatórios públicos sobre os resultados alcançados e os recursos empregados.</w:t>
      </w:r>
    </w:p>
    <w:p w14:paraId="34AC21F6" w14:textId="77777777" w:rsidR="00404B18" w:rsidRDefault="00404B18" w:rsidP="00404B18">
      <w:pPr>
        <w:tabs>
          <w:tab w:val="left" w:pos="2918"/>
        </w:tabs>
      </w:pPr>
      <w:r>
        <w:t>Por fim, a proposta estabelece a capacitação contínua dos profissionais envolvidos na execução do programa, com foco na escuta qualificada, no atendimento a traumas e no enfrentamento à violência doméstica e de gênero, reforçando a necessidade de uma atuação</w:t>
      </w:r>
    </w:p>
    <w:p w14:paraId="4A9F9BDB" w14:textId="77777777" w:rsidR="00404B18" w:rsidRDefault="00404B18" w:rsidP="00404B18">
      <w:pPr>
        <w:tabs>
          <w:tab w:val="left" w:pos="2918"/>
        </w:tabs>
      </w:pPr>
      <w:r>
        <w:t>técnica, integrada e humanizada. Na justificativa do projeto, os autores sustentam que a criação do Programa Municipal Resgate de Vidas é necessária para garantir</w:t>
      </w:r>
    </w:p>
    <w:p w14:paraId="682AF0F4" w14:textId="77777777" w:rsidR="00404B18" w:rsidRDefault="00404B18" w:rsidP="00404B18">
      <w:pPr>
        <w:tabs>
          <w:tab w:val="left" w:pos="2918"/>
        </w:tabs>
      </w:pPr>
      <w:r>
        <w:t>suporte psicossocial, jurídico, educacional e financeiro a crianças e adolescentes afetados pela violência doméstica e pelo feminicídio. Segundo afirmam, a violência contra a mulher constitui grave violação de direitos humanos e produz impactos que ultrapassam a vítima direta, atingindo profundamente seus filhos e filhas, muitas vezes invisibilizados pelas políticas públicas e pelas respostas institucionais. Os autores argumentam que o feminicídio provoca consequências traumáticas permanentes para crianças e adolescentes que perdem</w:t>
      </w:r>
    </w:p>
    <w:p w14:paraId="526ABD05" w14:textId="77777777" w:rsidR="00404B18" w:rsidRDefault="00404B18" w:rsidP="00404B18">
      <w:pPr>
        <w:tabs>
          <w:tab w:val="left" w:pos="2918"/>
        </w:tabs>
      </w:pPr>
      <w:r>
        <w:t xml:space="preserve">suas mães de forma violenta, comprometendo o desenvolvimento emocional, cognitivo e social. De acordo com a justificativa, estudos e diagnósticos sociais demonstram que muitos menores vivem em contextos marcados por negligência, abusos, insegurança habitacional, abandono e rupturas familiares, fatores </w:t>
      </w:r>
      <w:r>
        <w:lastRenderedPageBreak/>
        <w:t>associados à evasão escolar, transtornos psicológicos, instabilidade afetiva e maior</w:t>
      </w:r>
    </w:p>
    <w:p w14:paraId="63E256BC" w14:textId="77777777" w:rsidR="00404B18" w:rsidRDefault="00404B18" w:rsidP="00404B18">
      <w:pPr>
        <w:tabs>
          <w:tab w:val="left" w:pos="2918"/>
        </w:tabs>
      </w:pPr>
      <w:r>
        <w:t>vulnerabilidade a novos ciclos de violência. Sustentam ainda que a proposta está alinhada ao Estatuto da Criança e do Adolescente, à Lei Maria da Penha, à Lei do Feminicídio e à</w:t>
      </w:r>
    </w:p>
    <w:p w14:paraId="7D26560A" w14:textId="77777777" w:rsidR="00404B18" w:rsidRDefault="00404B18" w:rsidP="00404B18">
      <w:pPr>
        <w:tabs>
          <w:tab w:val="left" w:pos="2918"/>
        </w:tabs>
      </w:pPr>
      <w:r>
        <w:t>Constituição Federal, normas que asseguram a proteção integral da infância, o enfrentamento da violência de gênero e a garantia da dignidade da pessoa humana. Na avaliação dos autores, a ausência de uma política pública municipal específica para crianças e</w:t>
      </w:r>
    </w:p>
    <w:p w14:paraId="42BFC57A" w14:textId="77777777" w:rsidR="00404B18" w:rsidRDefault="00404B18" w:rsidP="00404B18">
      <w:pPr>
        <w:tabs>
          <w:tab w:val="left" w:pos="2918"/>
        </w:tabs>
      </w:pPr>
      <w:r>
        <w:t>adolescentes vítimas indiretas da violência doméstica fragiliza a rede de proteção social e contribui para a perpetuação de situações de</w:t>
      </w:r>
    </w:p>
    <w:p w14:paraId="5207BF4C" w14:textId="77777777" w:rsidR="00404B18" w:rsidRDefault="00404B18" w:rsidP="00404B18">
      <w:pPr>
        <w:tabs>
          <w:tab w:val="left" w:pos="2918"/>
        </w:tabs>
      </w:pPr>
      <w:r>
        <w:t>exclusão e violação de direitos. Sob perspectiva técnico-científica, a violência doméstica e o feminicídio configuram fenômenos complexos e multifatoriais, cujos</w:t>
      </w:r>
    </w:p>
    <w:p w14:paraId="0E42A89E" w14:textId="77777777" w:rsidR="00404B18" w:rsidRDefault="00404B18" w:rsidP="00404B18">
      <w:pPr>
        <w:tabs>
          <w:tab w:val="left" w:pos="2918"/>
        </w:tabs>
      </w:pPr>
      <w:r>
        <w:t>impactos alcançam não apenas as vítimas diretas, mas também crianças e adolescentes inseridos nesses contextos familiares. A</w:t>
      </w:r>
    </w:p>
    <w:p w14:paraId="2E4B7F5B" w14:textId="77777777" w:rsidR="00404B18" w:rsidRDefault="00404B18" w:rsidP="00404B18">
      <w:pPr>
        <w:tabs>
          <w:tab w:val="left" w:pos="2918"/>
        </w:tabs>
      </w:pPr>
      <w:r>
        <w:t>literatura nacional e internacional aponta que a exposição contínua à violência intrafamiliar representa importante fator de risco ao desenvolvimento biopsicossocial, podendo comprometer aspectos emocionais, cognitivos, comportamentais e relacionais ao longo da</w:t>
      </w:r>
    </w:p>
    <w:p w14:paraId="21618440" w14:textId="77777777" w:rsidR="00404B18" w:rsidRDefault="00404B18" w:rsidP="00404B18">
      <w:pPr>
        <w:tabs>
          <w:tab w:val="left" w:pos="2918"/>
        </w:tabs>
      </w:pPr>
      <w:r>
        <w:t>vida (OMS, 2021; UNICEF, 2021). No contexto brasileiro, o feminicídio possui dimensão estrutural associada às desigualdades de gênero e às dinâmicas históricas de discriminação contra as mulheres. A Lei Federal nº 13.104/2015 reconhece o feminicídio como qualificadora do homicídio praticado por</w:t>
      </w:r>
    </w:p>
    <w:p w14:paraId="351B5BF3" w14:textId="77777777" w:rsidR="00404B18" w:rsidRDefault="00404B18" w:rsidP="00404B18">
      <w:pPr>
        <w:tabs>
          <w:tab w:val="left" w:pos="2918"/>
        </w:tabs>
      </w:pPr>
      <w:r>
        <w:t>razões da condição do sexo feminino, especialmente em situações de violência doméstica e familiar. Dados do Fórum Brasileiro de Segurança Pública (2024) indicam a persistência de elevados índices de violência letal de gênero no país. Os efeitos dessa violência sobre crianças e adolescentes são amplamente documentados pela psicologia do desenvolvimento e pela psiquiatria infantil. Estudos demonstram que crianças expostas à violência doméstica apresentam maior incidência de transtorno de</w:t>
      </w:r>
    </w:p>
    <w:p w14:paraId="75A344CD" w14:textId="77777777" w:rsidR="00404B18" w:rsidRDefault="00404B18" w:rsidP="00404B18">
      <w:pPr>
        <w:tabs>
          <w:tab w:val="left" w:pos="2918"/>
        </w:tabs>
      </w:pPr>
      <w:r>
        <w:t>estresse pós-traumático, ansiedade, depressão, dificuldades de aprendizagem, distúrbios de comportamento e problemas de socialização</w:t>
      </w:r>
    </w:p>
    <w:p w14:paraId="13937046" w14:textId="77777777" w:rsidR="00404B18" w:rsidRDefault="00404B18" w:rsidP="00404B18">
      <w:pPr>
        <w:tabs>
          <w:tab w:val="left" w:pos="2918"/>
        </w:tabs>
      </w:pPr>
      <w:r>
        <w:t xml:space="preserve">(APA, 2019; </w:t>
      </w:r>
      <w:proofErr w:type="spellStart"/>
      <w:r>
        <w:t>Margolin</w:t>
      </w:r>
      <w:proofErr w:type="spellEnd"/>
      <w:r>
        <w:t xml:space="preserve"> &amp; </w:t>
      </w:r>
      <w:proofErr w:type="spellStart"/>
      <w:r>
        <w:t>Gordis</w:t>
      </w:r>
      <w:proofErr w:type="spellEnd"/>
      <w:r>
        <w:t>, 2000). A exposição recorrente ao chamado estresse tóxico também pode alterar mecanismos neurobiológicos fundamentais ao desenvolvimento infantil (</w:t>
      </w:r>
      <w:proofErr w:type="spellStart"/>
      <w:r>
        <w:t>Shonkoff</w:t>
      </w:r>
      <w:proofErr w:type="spellEnd"/>
      <w:r>
        <w:t xml:space="preserve"> et al., 2012). Nos casos de feminicídio, os </w:t>
      </w:r>
      <w:r>
        <w:lastRenderedPageBreak/>
        <w:t>impactos tendem a ser ainda mais severos em razão da ruptura abrupta dos vínculos afetivos e familiares. Crianças órfãs do feminicídio frequentemente enfrentam mudanças de residência, separação entre irmãos, insegurança econômica,</w:t>
      </w:r>
    </w:p>
    <w:p w14:paraId="1A46F464" w14:textId="77777777" w:rsidR="00404B18" w:rsidRDefault="00404B18" w:rsidP="00404B18">
      <w:pPr>
        <w:tabs>
          <w:tab w:val="left" w:pos="2918"/>
        </w:tabs>
      </w:pPr>
      <w:r>
        <w:t>judicialização da guarda e desestruturação das redes de apoio. Em muitos casos, o autor do crime é o próprio pai ou companheiro da</w:t>
      </w:r>
    </w:p>
    <w:p w14:paraId="2F1A5454" w14:textId="77777777" w:rsidR="00404B18" w:rsidRDefault="00404B18" w:rsidP="00404B18">
      <w:pPr>
        <w:tabs>
          <w:tab w:val="left" w:pos="2918"/>
        </w:tabs>
      </w:pPr>
      <w:r>
        <w:t xml:space="preserve">vítima, circunstância que potencializa conflitos emocionais relacionados ao luto e à identidade familiar (UN </w:t>
      </w:r>
      <w:proofErr w:type="spellStart"/>
      <w:r>
        <w:t>Women</w:t>
      </w:r>
      <w:proofErr w:type="spellEnd"/>
      <w:r>
        <w:t>, 2022). A literatura especializada também aponta que a vivência de violência doméstica na infância pode contribuir para a perpetuação</w:t>
      </w:r>
    </w:p>
    <w:p w14:paraId="2021F69B" w14:textId="77777777" w:rsidR="00404B18" w:rsidRDefault="00404B18" w:rsidP="00404B18">
      <w:pPr>
        <w:tabs>
          <w:tab w:val="left" w:pos="2918"/>
        </w:tabs>
      </w:pPr>
      <w:r>
        <w:t xml:space="preserve">intergeracional da violência. Segundo </w:t>
      </w:r>
      <w:proofErr w:type="spellStart"/>
      <w:r>
        <w:t>Widom</w:t>
      </w:r>
      <w:proofErr w:type="spellEnd"/>
      <w:r>
        <w:t xml:space="preserve"> (1989), indivíduos expostos a ambientes violentos durante o desenvolvimento apresentam</w:t>
      </w:r>
    </w:p>
    <w:p w14:paraId="51FE54DA" w14:textId="77777777" w:rsidR="00404B18" w:rsidRDefault="00404B18" w:rsidP="00404B18">
      <w:pPr>
        <w:tabs>
          <w:tab w:val="left" w:pos="2918"/>
        </w:tabs>
      </w:pPr>
      <w:r>
        <w:t>maior probabilidade de reproduzir padrões de violência na vida adulta, embora fatores protetivos — como suporte psicossocial adequado, estabilidade familiar e acesso a políticas públicas — possam reduzir significativamente esses riscos. Nesse contexto, políticas públicas voltadas à proteção integral de crianças e adolescentes vítimas indiretas da violência doméstica e do</w:t>
      </w:r>
    </w:p>
    <w:p w14:paraId="250A000B" w14:textId="77777777" w:rsidR="00404B18" w:rsidRDefault="00404B18" w:rsidP="00404B18">
      <w:pPr>
        <w:tabs>
          <w:tab w:val="left" w:pos="2918"/>
        </w:tabs>
      </w:pPr>
      <w:r>
        <w:t>feminicídio mostram-se fundamentais para a prevenção de danos sociais e emocionais de longo prazo. A abordagem intersetorial, envolvendo saúde, assistência social, educação, justiça e segurança pública, é considerada uma das estratégias mais eficazes para</w:t>
      </w:r>
    </w:p>
    <w:p w14:paraId="0BB07F77" w14:textId="77777777" w:rsidR="00404B18" w:rsidRDefault="00404B18" w:rsidP="00404B18">
      <w:pPr>
        <w:tabs>
          <w:tab w:val="left" w:pos="2918"/>
        </w:tabs>
      </w:pPr>
      <w:r>
        <w:t>identificação precoce de situações de vulnerabilidade e promoção de respostas humanizadas e integradas (OMS, 2016). O Estatuto da Criança e do Adolescente e o artigo 227 da Constituição Federal estabelecem o dever do Estado, da família e da sociedade de assegurar, com prioridade absoluta, os direitos fundamentais da infância e da adolescência. A Lei Maria da Penha, por sua vez,</w:t>
      </w:r>
    </w:p>
    <w:p w14:paraId="0D16A710" w14:textId="77777777" w:rsidR="00404B18" w:rsidRDefault="00404B18" w:rsidP="00404B18">
      <w:pPr>
        <w:tabs>
          <w:tab w:val="left" w:pos="2918"/>
        </w:tabs>
      </w:pPr>
      <w:r>
        <w:t>reconhece expressamente os impactos da violência doméstica sobre os dependentes da mulher vítima de agressão, prevendo medidas protetivas que podem alcançar os filhos e demais integrantes do núcleo familiar. Do ponto de vista da saúde pública, a violência doméstica é reconhecida como importante determinante social de adoecimento físico e mental. Crianças submetidas a ambientes familiares violentos apresentam maior risco de doenças crônicas, automutilação, uso abusivo de substâncias e comprometimento das competências socioemocionais ao longo da vida (</w:t>
      </w:r>
      <w:proofErr w:type="spellStart"/>
      <w:r>
        <w:t>Felitti</w:t>
      </w:r>
      <w:proofErr w:type="spellEnd"/>
      <w:r>
        <w:t xml:space="preserve"> et al., 1998). Além dos impactos</w:t>
      </w:r>
    </w:p>
    <w:p w14:paraId="3913D872" w14:textId="77777777" w:rsidR="00404B18" w:rsidRDefault="00404B18" w:rsidP="00404B18">
      <w:pPr>
        <w:tabs>
          <w:tab w:val="left" w:pos="2918"/>
        </w:tabs>
      </w:pPr>
      <w:r>
        <w:t xml:space="preserve">individuais, a violência também produz consequências coletivas relevantes, ampliando a demanda sobre os sistemas de saúde, assistência social, segurança </w:t>
      </w:r>
      <w:r>
        <w:lastRenderedPageBreak/>
        <w:t>pública e justiça (IPEA, 2023). Diante desse cenário, iniciativas voltadas à atenção integral de crianças e adolescentes afetados pelo feminicídio e pela violência doméstica inserem-se em uma perspectiva contemporânea de proteção social, direitos humanos e saúde pública. Estratégias que</w:t>
      </w:r>
    </w:p>
    <w:p w14:paraId="496359C4" w14:textId="77777777" w:rsidR="00404B18" w:rsidRDefault="00404B18" w:rsidP="00404B18">
      <w:pPr>
        <w:tabs>
          <w:tab w:val="left" w:pos="2918"/>
        </w:tabs>
      </w:pPr>
      <w:r>
        <w:t>combinam acolhimento psicológico, fortalecimento de vínculos familiares, acompanhamento educacional, suporte financeiro emergencial e articulação interinstitucional demonstram maior potencial de mitigação dos efeitos traumáticos e promoção da resiliência infantil</w:t>
      </w:r>
    </w:p>
    <w:p w14:paraId="03779191" w14:textId="77777777" w:rsidR="00404B18" w:rsidRDefault="00404B18" w:rsidP="00404B18">
      <w:pPr>
        <w:tabs>
          <w:tab w:val="left" w:pos="2918"/>
        </w:tabs>
      </w:pPr>
      <w:r>
        <w:t>(UNICEF, 2021). A capacitação contínua dos profissionais envolvidos também constitui elemento essencial para garantir atendimento qualificado, prevenção da revitimização e efetividade das políticas públicas (CNJ, 2022). Por isso, a Comissão de Saúde, Promoção Social, Trabalho e Mulher, no âmbito de sua competência, entende que a propositura é meritória e deve prosperar, sendo, portanto, o parecer</w:t>
      </w:r>
    </w:p>
    <w:p w14:paraId="1D182798" w14:textId="77777777" w:rsidR="00404B18" w:rsidRDefault="00404B18" w:rsidP="00404B18">
      <w:pPr>
        <w:tabs>
          <w:tab w:val="left" w:pos="2918"/>
        </w:tabs>
      </w:pPr>
      <w:r>
        <w:t>favorável ao substitutivo da Comissão de Constituição, Justiça e Legislação Participativa. Sala da Comissão de Saúde, Promoção Social, Trabalho e Mulher, em 19/08/2026. Ver. Ely Teruel (MDB) - Presidente Ver. Dra. Sandra Tadeu (PL) - Vice-presidente - Relatoria Ver. Adilson Amadeu (UNIÃO)</w:t>
      </w:r>
    </w:p>
    <w:p w14:paraId="42B3A35F" w14:textId="77777777" w:rsidR="00404B18" w:rsidRDefault="00404B18" w:rsidP="00404B18">
      <w:pPr>
        <w:tabs>
          <w:tab w:val="left" w:pos="2918"/>
        </w:tabs>
      </w:pPr>
      <w:r>
        <w:t>Ver. Amanda Paschoal (PSOL)</w:t>
      </w:r>
    </w:p>
    <w:p w14:paraId="008F5359" w14:textId="77777777" w:rsidR="00404B18" w:rsidRDefault="00404B18" w:rsidP="00404B18">
      <w:pPr>
        <w:tabs>
          <w:tab w:val="left" w:pos="2918"/>
        </w:tabs>
      </w:pPr>
      <w:r>
        <w:t>Ver. Roberto Tripoli (PV)</w:t>
      </w:r>
    </w:p>
    <w:p w14:paraId="157D3D06" w14:textId="77777777" w:rsidR="00404B18" w:rsidRDefault="00404B18" w:rsidP="00404B18">
      <w:pPr>
        <w:tabs>
          <w:tab w:val="left" w:pos="2918"/>
        </w:tabs>
      </w:pPr>
      <w:r>
        <w:t>Ver. Simone Ganem (PODE)</w:t>
      </w:r>
    </w:p>
    <w:p w14:paraId="009AD1CC" w14:textId="77777777" w:rsidR="00404B18" w:rsidRDefault="00404B18" w:rsidP="00404B18">
      <w:pPr>
        <w:tabs>
          <w:tab w:val="left" w:pos="2918"/>
        </w:tabs>
      </w:pPr>
      <w:r>
        <w:t xml:space="preserve">PARECER N° 1171/2026 DA COMISSÃO DE SAÚDE, PROMOÇÃO SOCIAL, TRABALHO E MULHER SOBRE O PROJETO DE LEI N° 1279/2025. O presente projeto, de autoria dos nobres Vereadores Celso Giannazi e Sandra Santana, dispõe sobre a Campanha de Conscientização, Valorização e Incentivo da Doação de Órgãos </w:t>
      </w:r>
      <w:proofErr w:type="gramStart"/>
      <w:r>
        <w:t>e Tecidos</w:t>
      </w:r>
      <w:proofErr w:type="gramEnd"/>
      <w:r>
        <w:t xml:space="preserve"> na Cidade de São Paulo. A Comissão de Constituição, Justiça e Legislação Participativa emitiu parecer de legalidade com apresentação de Substitutivo. A presente propositura institui no âmbito do Município de São Paulo, Campanha de Conscientização, Valorização e Incentivo à Doação de</w:t>
      </w:r>
    </w:p>
    <w:p w14:paraId="4E6F2A15" w14:textId="77777777" w:rsidR="00404B18" w:rsidRDefault="00404B18" w:rsidP="00404B18">
      <w:pPr>
        <w:tabs>
          <w:tab w:val="left" w:pos="2918"/>
        </w:tabs>
      </w:pPr>
      <w:r>
        <w:t>órgãos e tecidos, com a finalidade de promover a divulgação, o estímulo e o reconhecimento dessa prática para fins terapêuticos e</w:t>
      </w:r>
    </w:p>
    <w:p w14:paraId="19AE34D9" w14:textId="77777777" w:rsidR="00404B18" w:rsidRDefault="00404B18" w:rsidP="00404B18">
      <w:pPr>
        <w:tabs>
          <w:tab w:val="left" w:pos="2918"/>
        </w:tabs>
      </w:pPr>
      <w:r>
        <w:t>científicos, em conformidade com os princípios éticos e as normas do Sistema Único de Saúde. Estabelece que compete ao Poder Executivo implementar ações informativas, podendo atuar em parceria com entidades públicas e privadas, bem como regulamentar a presente norma no prazo de até 60 dias a contar de sua publicação. De acordo com o Ministério da Saúde, A doação de órgãos e tecidos consiste na manifestação voluntária pela qual um indivíduo autoriza</w:t>
      </w:r>
    </w:p>
    <w:p w14:paraId="4B2E1B8F" w14:textId="77777777" w:rsidR="00404B18" w:rsidRDefault="00404B18" w:rsidP="00404B18">
      <w:pPr>
        <w:tabs>
          <w:tab w:val="left" w:pos="2918"/>
        </w:tabs>
      </w:pPr>
      <w:r>
        <w:lastRenderedPageBreak/>
        <w:t>a disponibilização de partes de seu corpo, com a finalidade de contribuir para o tratamento e a recuperação da saúde de outras pessoas. No ordenamento jurídico brasileiro, o tema é disciplinado pela Lei nº 9.434/1997, regulamentada pelo Decreto nº 9.175/2017, que dispõe</w:t>
      </w:r>
    </w:p>
    <w:p w14:paraId="42E415AA" w14:textId="77777777" w:rsidR="00404B18" w:rsidRDefault="00404B18" w:rsidP="00404B18">
      <w:pPr>
        <w:tabs>
          <w:tab w:val="left" w:pos="2918"/>
        </w:tabs>
      </w:pPr>
      <w:r>
        <w:t>sobre a remoção de órgãos, tecidos e partes do corpo humano para fins de transplante e tratamento, estabelecendo os parâmetros</w:t>
      </w:r>
    </w:p>
    <w:p w14:paraId="431FF6FF" w14:textId="77777777" w:rsidR="00404B18" w:rsidRDefault="00404B18" w:rsidP="00404B18">
      <w:pPr>
        <w:tabs>
          <w:tab w:val="left" w:pos="2918"/>
        </w:tabs>
      </w:pPr>
      <w:r>
        <w:t>legais e éticos aplicáveis ao procedimento. Embora a legislação vigente não assegure a execução automática da manifestação de</w:t>
      </w:r>
    </w:p>
    <w:p w14:paraId="3C535F1E" w14:textId="77777777" w:rsidR="00404B18" w:rsidRDefault="00404B18" w:rsidP="00404B18">
      <w:pPr>
        <w:tabs>
          <w:tab w:val="left" w:pos="2918"/>
        </w:tabs>
      </w:pPr>
      <w:r>
        <w:t>vontade do doador, observa-se que, na prática, a decisão familiar desempenha papel determinante. Nesse contexto, quando os</w:t>
      </w:r>
    </w:p>
    <w:p w14:paraId="6574CA81" w14:textId="77777777" w:rsidR="00404B18" w:rsidRDefault="00404B18" w:rsidP="00404B18">
      <w:pPr>
        <w:tabs>
          <w:tab w:val="left" w:pos="2918"/>
        </w:tabs>
      </w:pPr>
      <w:r>
        <w:t>familiares têm ciência prévia do desejo do falecido em doar seus órgãos, tal vontade tende a ser respeitada. A legislação brasileira vigente determina que a decisão final acerca da doação cabe à família, não possuindo mais validade a declaração</w:t>
      </w:r>
    </w:p>
    <w:p w14:paraId="4C899114" w14:textId="77777777" w:rsidR="00404B18" w:rsidRDefault="00404B18" w:rsidP="00404B18">
      <w:pPr>
        <w:tabs>
          <w:tab w:val="left" w:pos="2918"/>
        </w:tabs>
      </w:pPr>
      <w:r>
        <w:t>constante em documentos de identificação. A manifestação expressa da vontade do doador também poderá ser considerada, desde que</w:t>
      </w:r>
    </w:p>
    <w:p w14:paraId="548F7A6A" w14:textId="77777777" w:rsidR="00404B18" w:rsidRDefault="00404B18" w:rsidP="00404B18">
      <w:pPr>
        <w:tabs>
          <w:tab w:val="left" w:pos="2918"/>
        </w:tabs>
      </w:pPr>
      <w:r>
        <w:t>respaldada por decisão judicial. Por esse motivo, recomenda-se que os indivíduos que desejam ser doadores comuniquem essa intenção a seus familiares. Conforme o Relatório de Doação - evolução 2001 -2023, do Sistema Nacional de Transplantes - Ministério da Saúde, entre 2013 e 2023, a</w:t>
      </w:r>
    </w:p>
    <w:p w14:paraId="1F581FA8" w14:textId="77777777" w:rsidR="00404B18" w:rsidRDefault="00404B18" w:rsidP="00404B18">
      <w:pPr>
        <w:tabs>
          <w:tab w:val="left" w:pos="2918"/>
        </w:tabs>
      </w:pPr>
      <w:r>
        <w:t>variação de negativa da família de potenciais doadores de órgãos foi de 37,8% a 45,3%, o que indica um alto potencial de recusa</w:t>
      </w:r>
    </w:p>
    <w:p w14:paraId="12C34022" w14:textId="77777777" w:rsidR="00404B18" w:rsidRDefault="00404B18" w:rsidP="00404B18">
      <w:pPr>
        <w:tabs>
          <w:tab w:val="left" w:pos="2918"/>
        </w:tabs>
      </w:pPr>
      <w:r>
        <w:t>familiar, fator limitante na disponibilização de órgãos e tecidos. O artigo “Doação de órgãos e tecidos para transplante: recusa das famílias”, publicado na Revista Texto e Contexto do Programa de Pós- graduação em Enfermagem da Universidade Federal de Santa Catarina, destaca que estudos analisados indicam que a negativa familiar à doação de órgãos decorre, predominantemente, de fatores informacionais, culturais e emocionais. Entre as principais causas de recusa, destacam-se o desconhecimento acerca da vontade do potencial doador, ressaltando-se a ausência de diálogo prévio no âmbito familiar; a incompreensão do conceito de morte encefálica; e a manifestação contrária do próprio doador em vida. Também se evidenciam como fatores relevantes a insatisfação com o atendimento médico, crenças relacionadas à necessidade de preservação da integridade física do corpo (receio de mutilação), dificuldades na aceitação do óbito, ausência de consenso entre</w:t>
      </w:r>
    </w:p>
    <w:p w14:paraId="6780127E" w14:textId="77777777" w:rsidR="00404B18" w:rsidRDefault="00404B18" w:rsidP="00404B18">
      <w:pPr>
        <w:tabs>
          <w:tab w:val="left" w:pos="2918"/>
        </w:tabs>
      </w:pPr>
      <w:r>
        <w:lastRenderedPageBreak/>
        <w:t>familiares e, em menor escala, questões de natureza religiosa. De modo geral, verifica-se que a falta de informação e de comunicação prévia constitui o principal entrave à autorização da doação,</w:t>
      </w:r>
    </w:p>
    <w:p w14:paraId="37526A2E" w14:textId="77777777" w:rsidR="00404B18" w:rsidRDefault="00404B18" w:rsidP="00404B18">
      <w:pPr>
        <w:tabs>
          <w:tab w:val="left" w:pos="2918"/>
        </w:tabs>
      </w:pPr>
      <w:r>
        <w:t>reforçando a importância de ações educativas e de conscientização dirigidas à população. Dessa forma, a divulgação de informações e o diálogo no âmbito familiar revelam-se essenciais, constituindo o modelo de consentimento mais compatível com a realidade nacional, além de conferir maior segurança jurídica aos envolvidos, inclusive aos serviços de transplantes. O doador vivo é aquele que, sendo maior de idade e juridicamente capaz, pode doar determinados órgãos ou tecidos, desde que</w:t>
      </w:r>
    </w:p>
    <w:p w14:paraId="6FC02A98" w14:textId="77777777" w:rsidR="00404B18" w:rsidRDefault="00404B18" w:rsidP="00404B18">
      <w:pPr>
        <w:tabs>
          <w:tab w:val="left" w:pos="2918"/>
        </w:tabs>
      </w:pPr>
      <w:r>
        <w:t>atendidos requisitos legais e clínicos. Quando não houver vínculo de parentesco, exige-se autorização judicial. Nesses casos, são</w:t>
      </w:r>
    </w:p>
    <w:p w14:paraId="3A2EF8CA" w14:textId="77777777" w:rsidR="00404B18" w:rsidRDefault="00404B18" w:rsidP="00404B18">
      <w:pPr>
        <w:tabs>
          <w:tab w:val="left" w:pos="2918"/>
        </w:tabs>
      </w:pPr>
      <w:r>
        <w:t>realizadas avaliações clínicas rigorosas, incluindo análise do histórico de saúde e testes de compatibilidade, a fim de assegurar a</w:t>
      </w:r>
    </w:p>
    <w:p w14:paraId="370B22B1" w14:textId="77777777" w:rsidR="00404B18" w:rsidRDefault="00404B18" w:rsidP="00404B18">
      <w:pPr>
        <w:tabs>
          <w:tab w:val="left" w:pos="2918"/>
        </w:tabs>
      </w:pPr>
      <w:r>
        <w:t>segurança do procedimento e as chances de sucesso. Os doadores falecidos, por sua vez, são indivíduos diagnosticados com morte encefálica, condição irreversível caracterizada pela</w:t>
      </w:r>
    </w:p>
    <w:p w14:paraId="413EBAD0" w14:textId="77777777" w:rsidR="00404B18" w:rsidRDefault="00404B18" w:rsidP="00404B18">
      <w:pPr>
        <w:tabs>
          <w:tab w:val="left" w:pos="2918"/>
        </w:tabs>
      </w:pPr>
      <w:r>
        <w:t>cessação definitiva das funções cerebrais. Nessa hipótese, é possível a doação de múltiplos órgãos e tecidos, respeitando-se critérios médicos e legais. A seleção dos receptores é realizada pelas Centrais de Transplantes, com base em critérios de compatibilidade e priorização clínica,</w:t>
      </w:r>
    </w:p>
    <w:p w14:paraId="1E91A797" w14:textId="77777777" w:rsidR="00404B18" w:rsidRDefault="00404B18" w:rsidP="00404B18">
      <w:pPr>
        <w:tabs>
          <w:tab w:val="left" w:pos="2918"/>
        </w:tabs>
      </w:pPr>
      <w:r>
        <w:t>visando assegurar equidade e eficiência no processo. O Sistema Nacional de Transplantes - SNT é a estrutura responsável por coordenar, normatizar e monitorar a realização de transplantes de órgãos, tecidos e células no Brasil. Seu principal objetivo é garantir que os transplantes sejam realizados de forma ética, segura e</w:t>
      </w:r>
    </w:p>
    <w:p w14:paraId="54D70028" w14:textId="77777777" w:rsidR="00404B18" w:rsidRDefault="00404B18" w:rsidP="00404B18">
      <w:pPr>
        <w:tabs>
          <w:tab w:val="left" w:pos="2918"/>
        </w:tabs>
      </w:pPr>
      <w:r>
        <w:t>transparente, respeitando os princípios do Sistema Único de Saúde - SUS. A destinação dos órgãos doados ocorre por meio de fila única, organizada pela Central de Transplantes de cada unidade federativa e</w:t>
      </w:r>
    </w:p>
    <w:p w14:paraId="572DD021" w14:textId="77777777" w:rsidR="00404B18" w:rsidRDefault="00404B18" w:rsidP="00404B18">
      <w:pPr>
        <w:tabs>
          <w:tab w:val="left" w:pos="2918"/>
        </w:tabs>
      </w:pPr>
      <w:r>
        <w:t>supervisionada pelo Sistema Nacional de Transplantes, respeitando critérios técnicos de priorização. A doação pode abranger diferentes órgãos — tais como rins, fígado, coração, pâncreas e pulmões —, bem como tecidos, incluindo</w:t>
      </w:r>
    </w:p>
    <w:p w14:paraId="1396546A" w14:textId="77777777" w:rsidR="00404B18" w:rsidRDefault="00404B18" w:rsidP="00404B18">
      <w:pPr>
        <w:tabs>
          <w:tab w:val="left" w:pos="2918"/>
        </w:tabs>
      </w:pPr>
      <w:r>
        <w:t xml:space="preserve">córneas, pele, ossos, válvulas cardíacas, cartilagem, medula óssea e sangue de cordão umbilical. Em determinadas situações, a doação pode ocorrer em vida, especialmente no caso de rins, parte do fígado ou medula óssea. O Brasil ocupa posição de destaque no cenário internacional de transplantes, figurando entre os países com maior número de procedimentos realizados, ainda que haja </w:t>
      </w:r>
      <w:r>
        <w:lastRenderedPageBreak/>
        <w:t>significativa demanda reprimida, com milhares de pacientes aguardando por um órgão</w:t>
      </w:r>
    </w:p>
    <w:p w14:paraId="0931127F" w14:textId="77777777" w:rsidR="00404B18" w:rsidRDefault="00404B18" w:rsidP="00404B18">
      <w:pPr>
        <w:tabs>
          <w:tab w:val="left" w:pos="2918"/>
        </w:tabs>
      </w:pPr>
      <w:r>
        <w:t>compatível.</w:t>
      </w:r>
    </w:p>
    <w:p w14:paraId="3A9F3727" w14:textId="77777777" w:rsidR="00404B18" w:rsidRDefault="00404B18" w:rsidP="00404B18">
      <w:pPr>
        <w:tabs>
          <w:tab w:val="left" w:pos="2918"/>
        </w:tabs>
      </w:pPr>
      <w:r>
        <w:t>Por fim, a conscientização da sociedade acerca da relevância da doação de órgãos e tecidos, aliada ao estímulo ao diálogo entre</w:t>
      </w:r>
    </w:p>
    <w:p w14:paraId="0913A2AC" w14:textId="77777777" w:rsidR="00404B18" w:rsidRDefault="00404B18" w:rsidP="00404B18">
      <w:pPr>
        <w:tabs>
          <w:tab w:val="left" w:pos="2918"/>
        </w:tabs>
      </w:pPr>
      <w:r>
        <w:t>familiares e à disseminação de informações seguras, constitui medida fundamental para ampliar o número de doadores e salvar vidas. A Comissão de Saúde, Promoção Social, Trabalho e Mulher, no âmbito de sua competência, entende que a propositura é meritória,</w:t>
      </w:r>
    </w:p>
    <w:p w14:paraId="5154493F" w14:textId="77777777" w:rsidR="00404B18" w:rsidRDefault="00404B18" w:rsidP="00404B18">
      <w:pPr>
        <w:tabs>
          <w:tab w:val="left" w:pos="2918"/>
        </w:tabs>
      </w:pPr>
      <w:r>
        <w:t>relevante e deve prosperar, eis que visa ampliar a conscientização da população sobre a doação de órgãos e tecidos, promovendo</w:t>
      </w:r>
    </w:p>
    <w:p w14:paraId="298AC889" w14:textId="77777777" w:rsidR="00404B18" w:rsidRDefault="00404B18" w:rsidP="00404B18">
      <w:pPr>
        <w:tabs>
          <w:tab w:val="left" w:pos="2918"/>
        </w:tabs>
      </w:pPr>
      <w:r>
        <w:t>informação qualificada e o diálogo familiar, a fim de reduzir as elevadas taxas de recusa, aumentar o número de doadores e contribuir para salvar vidas por meio do fortalecimento da política pública de transplantes no Município de São Paulo, sendo, portanto, favorável nos termos do Substitutivo da Comissão de Constituição, Justiça e Legislação Participativa, o parecer. Sala da Comissão de Saúde, Promoção Social, Trabalho e Mulher, em 19/08/2026. Ver. Ely Teruel (MDB) - Presidente Ver. Dra. Sandra Tadeu (PL) - Vice-presidente Ver. Adilson Amadeu (UNIÃO)</w:t>
      </w:r>
    </w:p>
    <w:p w14:paraId="4C3BF0A8" w14:textId="77777777" w:rsidR="00404B18" w:rsidRDefault="00404B18" w:rsidP="00404B18">
      <w:pPr>
        <w:tabs>
          <w:tab w:val="left" w:pos="2918"/>
        </w:tabs>
      </w:pPr>
      <w:r>
        <w:t>Ver. Amanda Paschoal (PSOL) - Relatoria Ver. Roberto Tripoli (PV)</w:t>
      </w:r>
    </w:p>
    <w:p w14:paraId="328C4269" w14:textId="77777777" w:rsidR="00404B18" w:rsidRDefault="00404B18" w:rsidP="00404B18">
      <w:pPr>
        <w:tabs>
          <w:tab w:val="left" w:pos="2918"/>
        </w:tabs>
      </w:pPr>
      <w:r>
        <w:t>Ver. Simone Ganem (PODE)</w:t>
      </w:r>
    </w:p>
    <w:p w14:paraId="49DC86C4" w14:textId="77777777" w:rsidR="00404B18" w:rsidRDefault="00404B18" w:rsidP="00404B18">
      <w:pPr>
        <w:tabs>
          <w:tab w:val="left" w:pos="2918"/>
        </w:tabs>
      </w:pPr>
      <w:r>
        <w:t>PARECER N° 1172/2026 DA COMISSÃO DE SAÚDE, PROMOÇÃO SOCIAL, TRABALHO E MULHER SOBRE O PROJETO DE LEI Nº 1366/2025. O presente projeto, de autoria do nobre Vereador Marcelo Messias, institui o uso do cordão como símbolo de identificação e</w:t>
      </w:r>
    </w:p>
    <w:p w14:paraId="2C2AF821" w14:textId="77777777" w:rsidR="00404B18" w:rsidRDefault="00404B18" w:rsidP="00404B18">
      <w:pPr>
        <w:tabs>
          <w:tab w:val="left" w:pos="2918"/>
        </w:tabs>
      </w:pPr>
      <w:r>
        <w:t>conscientização sobre a importância das pessoas com doenças raras no município de São Paulo. A Comissão de Constituição, Justiça e Legislação Participativa exarou parecer pela legalidade. Conforme a justificativa, o objetivo do projeto é promover visibilidade, inclusão e respeito das pessoas com doenças raras, de forma</w:t>
      </w:r>
    </w:p>
    <w:p w14:paraId="077DC52F" w14:textId="77777777" w:rsidR="00404B18" w:rsidRDefault="00404B18" w:rsidP="00404B18">
      <w:pPr>
        <w:tabs>
          <w:tab w:val="left" w:pos="2918"/>
        </w:tabs>
      </w:pPr>
      <w:r>
        <w:t>facultativa, com orientação a estabelecimentos públicos e privados para seu acolhimento. Esse símbolo já é utilizado por movimentos da</w:t>
      </w:r>
    </w:p>
    <w:p w14:paraId="7F026294" w14:textId="77777777" w:rsidR="00404B18" w:rsidRDefault="00404B18" w:rsidP="00404B18">
      <w:pPr>
        <w:tabs>
          <w:tab w:val="left" w:pos="2918"/>
        </w:tabs>
      </w:pPr>
      <w:r>
        <w:t>sociedade civil e associações de pacientes, facilitando o reconhecimento, o acolhimento e a empatia em espaços públicos, privados e</w:t>
      </w:r>
    </w:p>
    <w:p w14:paraId="198CC50C" w14:textId="77777777" w:rsidR="00404B18" w:rsidRDefault="00404B18" w:rsidP="00404B18">
      <w:pPr>
        <w:tabs>
          <w:tab w:val="left" w:pos="2918"/>
        </w:tabs>
      </w:pPr>
      <w:r>
        <w:lastRenderedPageBreak/>
        <w:t>serviços de saúde. A iniciativa aborda a invisibilidade social e institucional das pessoas com doenças raras, que frequentemente</w:t>
      </w:r>
    </w:p>
    <w:p w14:paraId="48702BCF" w14:textId="77777777" w:rsidR="00404B18" w:rsidRDefault="00404B18" w:rsidP="00404B18">
      <w:pPr>
        <w:tabs>
          <w:tab w:val="left" w:pos="2918"/>
        </w:tabs>
      </w:pPr>
      <w:r>
        <w:t>enfrentam dificuldades de diagnóstico, acesso a tratamentos e compreensão de suas necessidades específicas. As doenças raras demandam cuidados contínuos, articulação entre a rede assistencial e sensibilidade institucional às especificidades de pacientes e suas famílias. Nesse contexto, o reconhecimento simbólico atua como instrumento auxiliar de inclusão, reduzindo barreiras atitudinais e ampliando a visibilidade de um grupo com impacto social expressivo. Em face do exposto, a Comissão de Saúde, Promoção Social, Trabalho e Mulher, no âmbito de sua competência, entende que o presente projeto é meritório e merece prosperar. Sob a ótica do projeto, o cordão representa um avanço na promoção da inclusão, ao padronizar um instrumento visual simples e voluntário que facilita o acolhimento imediato em serviços essenciais, sem impor burocracias adicionais.</w:t>
      </w:r>
    </w:p>
    <w:p w14:paraId="124D84DC" w14:textId="77777777" w:rsidR="00404B18" w:rsidRDefault="00404B18" w:rsidP="00404B18">
      <w:pPr>
        <w:tabs>
          <w:tab w:val="left" w:pos="2918"/>
        </w:tabs>
      </w:pPr>
      <w:r>
        <w:t>Na sociedade paulistana, marcada por alta densidade populacional e intensa demanda por serviços públicos e privados, essa medida</w:t>
      </w:r>
    </w:p>
    <w:p w14:paraId="42EEAB89" w14:textId="77777777" w:rsidR="00404B18" w:rsidRDefault="00404B18" w:rsidP="00404B18">
      <w:pPr>
        <w:tabs>
          <w:tab w:val="left" w:pos="2918"/>
        </w:tabs>
      </w:pPr>
      <w:r>
        <w:t>contribui para um ambiente urbano mais acessível e humanizado, estimulando empatia em equipamentos de saúde, assistência social e</w:t>
      </w:r>
    </w:p>
    <w:p w14:paraId="593788C6" w14:textId="77777777" w:rsidR="00404B18" w:rsidRDefault="00404B18" w:rsidP="00404B18">
      <w:pPr>
        <w:tabs>
          <w:tab w:val="left" w:pos="2918"/>
        </w:tabs>
      </w:pPr>
      <w:r>
        <w:t>educação, reduzindo constrangimentos em filas, espaços de grande fluxo e barreiras comunicacionais. O símbolo fortalece a rede de</w:t>
      </w:r>
    </w:p>
    <w:p w14:paraId="4287043F" w14:textId="77777777" w:rsidR="00404B18" w:rsidRDefault="00404B18" w:rsidP="00404B18">
      <w:pPr>
        <w:tabs>
          <w:tab w:val="left" w:pos="2918"/>
        </w:tabs>
      </w:pPr>
      <w:r>
        <w:t>apoio, preparando a população e instituições para lidar com vulnerabilidades em saúde de forma proativa e respeitosa, alinhando-se a políticas de promoção social já consolidadas. Essa medida fortalece a rede de proteção social paulistana, posicionando a capital na</w:t>
      </w:r>
    </w:p>
    <w:p w14:paraId="50BAC971" w14:textId="77777777" w:rsidR="00404B18" w:rsidRDefault="00404B18" w:rsidP="00404B18">
      <w:pPr>
        <w:tabs>
          <w:tab w:val="left" w:pos="2918"/>
        </w:tabs>
      </w:pPr>
      <w:r>
        <w:t>vanguarda da defesa dos direitos das minorias e assegurando que o progresso da cidade seja medido, também, pela sua capacidade de</w:t>
      </w:r>
    </w:p>
    <w:p w14:paraId="28CEC4C0" w14:textId="77777777" w:rsidR="00404B18" w:rsidRDefault="00404B18" w:rsidP="00404B18">
      <w:pPr>
        <w:tabs>
          <w:tab w:val="left" w:pos="2918"/>
        </w:tabs>
      </w:pPr>
      <w:r>
        <w:t>enxergar e proteger aqueles que convivem com a raridade e a complexidade biológica, sendo, portanto, o parecer favorável. Sala da Comissão de Saúde, Promoção Social, Trabalho e Mulher, em 19/08/2026. Ver. Ely Teruel (MDB) - Presidente Ver. Dra. Sandra Tadeu (PL) - Vice-presidente - Relatoria Ver. Adilson Amadeu (UNIÃO)</w:t>
      </w:r>
    </w:p>
    <w:p w14:paraId="1F5EC548" w14:textId="77777777" w:rsidR="00404B18" w:rsidRDefault="00404B18" w:rsidP="00404B18">
      <w:pPr>
        <w:tabs>
          <w:tab w:val="left" w:pos="2918"/>
        </w:tabs>
      </w:pPr>
      <w:r>
        <w:t>Ver. Amanda Paschoal (PSOL)</w:t>
      </w:r>
    </w:p>
    <w:p w14:paraId="11C3123B" w14:textId="77777777" w:rsidR="00404B18" w:rsidRDefault="00404B18" w:rsidP="00404B18">
      <w:pPr>
        <w:tabs>
          <w:tab w:val="left" w:pos="2918"/>
        </w:tabs>
      </w:pPr>
      <w:r>
        <w:t>Ver. Roberto Tripoli (PV)</w:t>
      </w:r>
    </w:p>
    <w:p w14:paraId="039F2852" w14:textId="77777777" w:rsidR="00404B18" w:rsidRDefault="00404B18" w:rsidP="00404B18">
      <w:pPr>
        <w:tabs>
          <w:tab w:val="left" w:pos="2918"/>
        </w:tabs>
      </w:pPr>
      <w:r>
        <w:t>Ver. Simone Ganem (PODE)</w:t>
      </w:r>
    </w:p>
    <w:p w14:paraId="0BDA7ED3" w14:textId="77777777" w:rsidR="00404B18" w:rsidRDefault="00404B18" w:rsidP="00404B18">
      <w:pPr>
        <w:tabs>
          <w:tab w:val="left" w:pos="2918"/>
        </w:tabs>
      </w:pPr>
      <w:r>
        <w:t xml:space="preserve">PARECER N° 1173/2026 DA COMISSÃO DE SAÚDE, PROMOÇÃO SOCIAL, TRABALHO E MULHER SOBRE O PROJETO DE LEI N° 134/2026. O presente projeto, </w:t>
      </w:r>
      <w:r>
        <w:lastRenderedPageBreak/>
        <w:t xml:space="preserve">de autoria dos nobres Vereadores Sandra Santana, Sansão Pereira e </w:t>
      </w:r>
      <w:proofErr w:type="spellStart"/>
      <w:r>
        <w:t>Silvão</w:t>
      </w:r>
      <w:proofErr w:type="spellEnd"/>
      <w:r>
        <w:t xml:space="preserve"> Leite, dispõe sobre diretriz para o</w:t>
      </w:r>
    </w:p>
    <w:p w14:paraId="58401E7F" w14:textId="77777777" w:rsidR="00404B18" w:rsidRDefault="00404B18" w:rsidP="00404B18">
      <w:pPr>
        <w:tabs>
          <w:tab w:val="left" w:pos="2918"/>
        </w:tabs>
      </w:pPr>
      <w:r>
        <w:t xml:space="preserve">fornecimento gratuito de medicamentos indicados para o tratamento da obesidade grave, incluindo aqueles à base de </w:t>
      </w:r>
      <w:proofErr w:type="spellStart"/>
      <w:r>
        <w:t>Tirzepatida</w:t>
      </w:r>
      <w:proofErr w:type="spellEnd"/>
      <w:r>
        <w:t xml:space="preserve">, no âmbito da rede pública municipal de saúde, e dá outras providências. A Comissão de Constituição, Justiça e Legislação Participativa emitiu parecer de legalidade. Trata-se de Projeto de Lei que estabelece diretriz para o fornecimento gratuito de medicamentos destinados ao tratamento da obesidade grave no âmbito da rede pública municipal de saúde de São Paulo, incluindo fármacos à base de </w:t>
      </w:r>
      <w:proofErr w:type="spellStart"/>
      <w:r>
        <w:t>tirzepatida</w:t>
      </w:r>
      <w:proofErr w:type="spellEnd"/>
      <w:r>
        <w:t xml:space="preserve"> e outros que venham a ser</w:t>
      </w:r>
    </w:p>
    <w:p w14:paraId="2EDED0AB" w14:textId="77777777" w:rsidR="00404B18" w:rsidRDefault="00404B18" w:rsidP="00404B18">
      <w:pPr>
        <w:tabs>
          <w:tab w:val="left" w:pos="2918"/>
        </w:tabs>
      </w:pPr>
      <w:r>
        <w:t>reconhecidos pelas autoridades sanitárias. O acesso aos medicamentos condiciona</w:t>
      </w:r>
      <w:r>
        <w:rPr>
          <w:rFonts w:ascii="Cambria Math" w:hAnsi="Cambria Math" w:cs="Cambria Math"/>
        </w:rPr>
        <w:t>‑</w:t>
      </w:r>
      <w:r>
        <w:t xml:space="preserve">se </w:t>
      </w:r>
      <w:r>
        <w:rPr>
          <w:rFonts w:ascii="Aptos" w:hAnsi="Aptos" w:cs="Aptos"/>
        </w:rPr>
        <w:t>à</w:t>
      </w:r>
      <w:r>
        <w:t xml:space="preserve"> prescri</w:t>
      </w:r>
      <w:r>
        <w:rPr>
          <w:rFonts w:ascii="Aptos" w:hAnsi="Aptos" w:cs="Aptos"/>
        </w:rPr>
        <w:t>çã</w:t>
      </w:r>
      <w:r>
        <w:t>o m</w:t>
      </w:r>
      <w:r>
        <w:rPr>
          <w:rFonts w:ascii="Aptos" w:hAnsi="Aptos" w:cs="Aptos"/>
        </w:rPr>
        <w:t>é</w:t>
      </w:r>
      <w:r>
        <w:t>dica fundamentada, ao</w:t>
      </w:r>
    </w:p>
    <w:p w14:paraId="34F8047E" w14:textId="77777777" w:rsidR="00404B18" w:rsidRDefault="00404B18" w:rsidP="00404B18">
      <w:pPr>
        <w:tabs>
          <w:tab w:val="left" w:pos="2918"/>
        </w:tabs>
      </w:pPr>
      <w:r>
        <w:t xml:space="preserve">cumprimento dos protocolos clínicos e diretrizes terapêuticas do SUS e aos critérios técnicos definidos pela Secretaria Municipal da Saúde. A proposta prevê como requisitos cumulativos para os beneficiários a residência no município por no mínimo dois anos, inscrição ativa no </w:t>
      </w:r>
      <w:proofErr w:type="spellStart"/>
      <w:r>
        <w:t>CadÚnico</w:t>
      </w:r>
      <w:proofErr w:type="spellEnd"/>
      <w:r>
        <w:t>, diagnóstico de obesidade mórbida (IMC ≥ 40 kg/m² ou IMC ≥ 35 kg/m² com comorbidades graves), comprovação de insucesso de tratamentos convencionais prévios e acompanhamento médico e multidisciplinar contínuo na rede pública. Autoriza, ainda, a celebração de parcerias e convênios com entes públicos e privados e organizações da sociedade civil para ampliar o acesso aos tratamentos, observada a legislação aplicável e o interesse público. De acordo com a Sociedade Brasileira de Cirurgia Bariátrica e Metabólica, dados do Ministério da Saúde em 2022, obtidos em um</w:t>
      </w:r>
    </w:p>
    <w:p w14:paraId="29D11D7B" w14:textId="77777777" w:rsidR="00404B18" w:rsidRDefault="00404B18" w:rsidP="00404B18">
      <w:pPr>
        <w:tabs>
          <w:tab w:val="left" w:pos="2918"/>
        </w:tabs>
      </w:pPr>
      <w:r>
        <w:t>levantamento inédito, apontam que a obesidade atinge 6,7 milhões de pessoas no Brasil. O número de pessoas com obesidade mórbida</w:t>
      </w:r>
    </w:p>
    <w:p w14:paraId="5664CB01" w14:textId="77777777" w:rsidR="00404B18" w:rsidRDefault="00404B18" w:rsidP="00404B18">
      <w:pPr>
        <w:tabs>
          <w:tab w:val="left" w:pos="2918"/>
        </w:tabs>
      </w:pPr>
      <w:r>
        <w:t>ou índice de massa corporal (IMC) grau III, acima de 40 kg/m², atingiu 863.086 pessoas em 2021. Em 2019, 407.589 pessoas foram diagnosticadas com obesidade grau III, o que representava 3,14% das pessoas monitoradas. Já em</w:t>
      </w:r>
    </w:p>
    <w:p w14:paraId="73CCBE9A" w14:textId="77777777" w:rsidR="00404B18" w:rsidRDefault="00404B18" w:rsidP="00404B18">
      <w:pPr>
        <w:tabs>
          <w:tab w:val="left" w:pos="2918"/>
        </w:tabs>
      </w:pPr>
      <w:r>
        <w:t>2022, o número subiu para 863.083 brasileiros diagnosticados com o mais grave nível de obesidade, totalizando 4,07% da população. Esse ponto percentual representa um crescimento de 29,6% em apenas 4 anos. Ao todo, 21,2 milhões de brasileiros participaram da tabulação do sistema de vigilância alimentar e nutricional, provenientes do Sistema de Vigilância Alimentar e Nutricional (SISVAN). A pesquisa foi realizada por abrangência, região de cobertura, fase da vida, s sexo,</w:t>
      </w:r>
    </w:p>
    <w:p w14:paraId="10B9009A" w14:textId="77777777" w:rsidR="00404B18" w:rsidRDefault="00404B18" w:rsidP="00404B18">
      <w:pPr>
        <w:tabs>
          <w:tab w:val="left" w:pos="2918"/>
        </w:tabs>
      </w:pPr>
      <w:r>
        <w:t xml:space="preserve">raça/cor, origem do registro, entre outras. A Organização Mundial de Saúde indica que a obesidade é um dos mais graves problemas de saúde que temos para </w:t>
      </w:r>
      <w:r>
        <w:lastRenderedPageBreak/>
        <w:t>enfrentar. Em 2025, a estimativa é de que 2,3 bilhões de adultos ao redor do mundo estejam acima do peso, sendo 700 milhões de indivíduos com obesidade,</w:t>
      </w:r>
    </w:p>
    <w:p w14:paraId="2458C1BB" w14:textId="77777777" w:rsidR="00404B18" w:rsidRDefault="00404B18" w:rsidP="00404B18">
      <w:pPr>
        <w:tabs>
          <w:tab w:val="left" w:pos="2918"/>
        </w:tabs>
      </w:pPr>
      <w:r>
        <w:t>isto é, com um índice de massa corporal (IMC) acima de 30. No Brasil, essa doença crônica aumentou 72% nos últimos treze anos, saindo de 11,8% em 2006 para 20,3% em 2019. Diante dessa prevalência, vale chamar a atenção que, de acordo com a Pesquisa de Vigilância de Fatores de Risco e Proteção para Doenças Crônicas por Inquérito Telefônico (</w:t>
      </w:r>
      <w:proofErr w:type="spellStart"/>
      <w:r>
        <w:t>Vigitel</w:t>
      </w:r>
      <w:proofErr w:type="spellEnd"/>
      <w:r>
        <w:t>). A frequência de obesidade é semelhante em homens e mulheres. Nestas, a obesidade diminui com o aumento da escolaridade. O problema também alcança crianças e adolescentes, com índices preocupantes apontados pelo Ministério da Saúde e pela OPAS, que</w:t>
      </w:r>
    </w:p>
    <w:p w14:paraId="7C0CD5BB" w14:textId="77777777" w:rsidR="00404B18" w:rsidRDefault="00404B18" w:rsidP="00404B18">
      <w:pPr>
        <w:tabs>
          <w:tab w:val="left" w:pos="2918"/>
        </w:tabs>
      </w:pPr>
      <w:r>
        <w:t>estimam 12,9% de obesidade entre crianças de 5 a 9 anos e 7% entre adolescentes de 12 a 17 anos. Nas capitais brasileiras, mais da metade da população adulta apresenta excesso de peso, com frequência média de 55,4%, sendo ligeiramente maior entre homens. Esses dados evidenciam a magnitude do desafio sanitário representado pela obesidade e reforçam a necessidade de políticas públicas estruturadas, preventivas e assistenciais para seu enfrentamento. A Política Nacional de Promoção da Saúde, expressa no Manual de atenção às pessoas com sobrepeso e obesidade no âmbito da Atenção</w:t>
      </w:r>
    </w:p>
    <w:p w14:paraId="13706CFC" w14:textId="77777777" w:rsidR="00404B18" w:rsidRDefault="00404B18" w:rsidP="00404B18">
      <w:pPr>
        <w:tabs>
          <w:tab w:val="left" w:pos="2918"/>
        </w:tabs>
      </w:pPr>
      <w:r>
        <w:t>Primária à Saúde (APS) do Sistema Único de Saúde, fundamenta</w:t>
      </w:r>
      <w:r>
        <w:rPr>
          <w:rFonts w:ascii="Cambria Math" w:hAnsi="Cambria Math" w:cs="Cambria Math"/>
        </w:rPr>
        <w:t>‑</w:t>
      </w:r>
      <w:r>
        <w:t>se no conceito ampliado de sa</w:t>
      </w:r>
      <w:r>
        <w:rPr>
          <w:rFonts w:ascii="Aptos" w:hAnsi="Aptos" w:cs="Aptos"/>
        </w:rPr>
        <w:t>ú</w:t>
      </w:r>
      <w:r>
        <w:t>de e compreende um conjunto de</w:t>
      </w:r>
    </w:p>
    <w:p w14:paraId="5B11B15F" w14:textId="77777777" w:rsidR="00404B18" w:rsidRDefault="00404B18" w:rsidP="00404B18">
      <w:pPr>
        <w:tabs>
          <w:tab w:val="left" w:pos="2918"/>
        </w:tabs>
      </w:pPr>
      <w:r>
        <w:t>estratégias voltadas à produção de saúde nos âmbitos individual e coletivo, por meio da articulação intersetorial, da cooperação entre políticas públicas e da participação social. No contexto do enfrentamento do sobrepeso e da obesidade, a política prioriza ações</w:t>
      </w:r>
    </w:p>
    <w:p w14:paraId="50CE81B2" w14:textId="77777777" w:rsidR="00404B18" w:rsidRDefault="00404B18" w:rsidP="00404B18">
      <w:pPr>
        <w:tabs>
          <w:tab w:val="left" w:pos="2918"/>
        </w:tabs>
      </w:pPr>
      <w:r>
        <w:t>relacionadas à alimentação adequada e saudável, com foco na segurança alimentar, na inclusão social e na garantia do direito humano à</w:t>
      </w:r>
    </w:p>
    <w:p w14:paraId="1D5270FE" w14:textId="77777777" w:rsidR="00404B18" w:rsidRDefault="00404B18" w:rsidP="00404B18">
      <w:pPr>
        <w:tabs>
          <w:tab w:val="left" w:pos="2918"/>
        </w:tabs>
      </w:pPr>
      <w:r>
        <w:t>alimentação, bem como o incentivo às práticas corporais e atividades físicas, promovendo hábitos saudáveis, a valorização da cultura</w:t>
      </w:r>
    </w:p>
    <w:p w14:paraId="7EC58641" w14:textId="77777777" w:rsidR="00404B18" w:rsidRDefault="00404B18" w:rsidP="00404B18">
      <w:pPr>
        <w:tabs>
          <w:tab w:val="left" w:pos="2918"/>
        </w:tabs>
      </w:pPr>
      <w:r>
        <w:t>local e a melhoria dos espaços públicos, contribuindo para a prevenção de doenças e a promoção da qualidade de vida. Em caso de necessidade de uso de fármacos no tratamento da Obesidade, a ABESO - Associação Brasileira para Estudo da Obesidade e Doenças Metabólicas, recomenda que indivíduos com obesidade recebam intervenções de mudança de estilo de vida (MEV) de forma</w:t>
      </w:r>
    </w:p>
    <w:p w14:paraId="7ABC5E7A" w14:textId="77777777" w:rsidR="00404B18" w:rsidRDefault="00404B18" w:rsidP="00404B18">
      <w:pPr>
        <w:tabs>
          <w:tab w:val="left" w:pos="2918"/>
        </w:tabs>
      </w:pPr>
      <w:r>
        <w:t>concomitante ao tratamento farmacológico, considerando que o tratamento combinado pode potencializar a perda de peso e a melhora de marcadores cardiometabólicos. As intervenções de mudança de estilo de vida (MEV), com foco na reeducação alimentar e na prática</w:t>
      </w:r>
    </w:p>
    <w:p w14:paraId="278159B2" w14:textId="77777777" w:rsidR="00404B18" w:rsidRDefault="00404B18" w:rsidP="00404B18">
      <w:pPr>
        <w:tabs>
          <w:tab w:val="left" w:pos="2918"/>
        </w:tabs>
      </w:pPr>
      <w:r>
        <w:lastRenderedPageBreak/>
        <w:t>regular de atividade física, são recomendadas como componentes essenciais no tratamento da obesidade, pois contribuem para a manutenção do balanço energético negativo e potencializam a perda de peso durante o uso de terapias farmacológicas. Diante da</w:t>
      </w:r>
    </w:p>
    <w:p w14:paraId="285AC061" w14:textId="77777777" w:rsidR="00404B18" w:rsidRDefault="00404B18" w:rsidP="00404B18">
      <w:pPr>
        <w:tabs>
          <w:tab w:val="left" w:pos="2918"/>
        </w:tabs>
      </w:pPr>
      <w:r>
        <w:t>inexistência de um modelo único de intervenção, as orientações devem ser individualizadas, de modo a favorecer a adesão ao</w:t>
      </w:r>
    </w:p>
    <w:p w14:paraId="3C93245A" w14:textId="77777777" w:rsidR="00404B18" w:rsidRDefault="00404B18" w:rsidP="00404B18">
      <w:pPr>
        <w:tabs>
          <w:tab w:val="left" w:pos="2918"/>
        </w:tabs>
      </w:pPr>
      <w:r>
        <w:t xml:space="preserve">tratamento. Estratégias comportamentais, incluindo o automonitoramento da alimentação, da atividade física e do peso corporal, mostram-se eficazes para otimizar a perda de peso e a manutenção dos resultados alcançados. Evidências indicam que o efeito aditivo das intervenções de MEV associado ao tratamento medicamentoso foi mais claramente demonstrado com a sibutramina, enquanto ainda não está plenamente estabelecido para fármacos mais recentes, como </w:t>
      </w:r>
      <w:proofErr w:type="spellStart"/>
      <w:r>
        <w:t>naltrexona</w:t>
      </w:r>
      <w:proofErr w:type="spellEnd"/>
      <w:r>
        <w:t xml:space="preserve"> associada ao bupropiona, liraglutida, semaglutida e</w:t>
      </w:r>
    </w:p>
    <w:p w14:paraId="73E665BC" w14:textId="77777777" w:rsidR="00404B18" w:rsidRDefault="00404B18" w:rsidP="00404B18">
      <w:pPr>
        <w:tabs>
          <w:tab w:val="left" w:pos="2918"/>
        </w:tabs>
      </w:pPr>
      <w:proofErr w:type="spellStart"/>
      <w:r>
        <w:t>tirzepatida</w:t>
      </w:r>
      <w:proofErr w:type="spellEnd"/>
      <w:r>
        <w:t xml:space="preserve">. A </w:t>
      </w:r>
      <w:proofErr w:type="spellStart"/>
      <w:r>
        <w:t>tirzepatida</w:t>
      </w:r>
      <w:proofErr w:type="spellEnd"/>
      <w:r>
        <w:t>, agonista duplo dos receptores GIP e GLP</w:t>
      </w:r>
      <w:r>
        <w:rPr>
          <w:rFonts w:ascii="Cambria Math" w:hAnsi="Cambria Math" w:cs="Cambria Math"/>
        </w:rPr>
        <w:t>‑</w:t>
      </w:r>
      <w:r>
        <w:t>1, representa importante avan</w:t>
      </w:r>
      <w:r>
        <w:rPr>
          <w:rFonts w:ascii="Aptos" w:hAnsi="Aptos" w:cs="Aptos"/>
        </w:rPr>
        <w:t>ç</w:t>
      </w:r>
      <w:r>
        <w:t>o no tratamento da obesidade e do diabetes tipo 2; contudo, o uso indiscriminado, off</w:t>
      </w:r>
      <w:r>
        <w:rPr>
          <w:rFonts w:ascii="Cambria Math" w:hAnsi="Cambria Math" w:cs="Cambria Math"/>
        </w:rPr>
        <w:t>‑</w:t>
      </w:r>
      <w:proofErr w:type="spellStart"/>
      <w:r>
        <w:t>label</w:t>
      </w:r>
      <w:proofErr w:type="spellEnd"/>
      <w:r>
        <w:t xml:space="preserve"> e sem prescri</w:t>
      </w:r>
      <w:r>
        <w:rPr>
          <w:rFonts w:ascii="Aptos" w:hAnsi="Aptos" w:cs="Aptos"/>
        </w:rPr>
        <w:t>çã</w:t>
      </w:r>
      <w:r>
        <w:t>o m</w:t>
      </w:r>
      <w:r>
        <w:rPr>
          <w:rFonts w:ascii="Aptos" w:hAnsi="Aptos" w:cs="Aptos"/>
        </w:rPr>
        <w:t>é</w:t>
      </w:r>
      <w:r>
        <w:t>dica tem sido associado ao aumento de rea</w:t>
      </w:r>
      <w:r>
        <w:rPr>
          <w:rFonts w:ascii="Aptos" w:hAnsi="Aptos" w:cs="Aptos"/>
        </w:rPr>
        <w:t>çõ</w:t>
      </w:r>
      <w:r>
        <w:t>es adversas graves. Estudo, publicado na Revista Ibero-Americana de Humanidades, Ci</w:t>
      </w:r>
      <w:r>
        <w:rPr>
          <w:rFonts w:ascii="Aptos" w:hAnsi="Aptos" w:cs="Aptos"/>
        </w:rPr>
        <w:t>ê</w:t>
      </w:r>
      <w:r>
        <w:t>ncias e Educa</w:t>
      </w:r>
      <w:r>
        <w:rPr>
          <w:rFonts w:ascii="Aptos" w:hAnsi="Aptos" w:cs="Aptos"/>
        </w:rPr>
        <w:t>çã</w:t>
      </w:r>
      <w:r>
        <w:t>o, baseado em revis</w:t>
      </w:r>
      <w:r>
        <w:rPr>
          <w:rFonts w:ascii="Aptos" w:hAnsi="Aptos" w:cs="Aptos"/>
        </w:rPr>
        <w:t>ã</w:t>
      </w:r>
      <w:r>
        <w:t>o integrativa da literatura (2020-2026)</w:t>
      </w:r>
    </w:p>
    <w:p w14:paraId="68D9E3B7" w14:textId="77777777" w:rsidR="00404B18" w:rsidRDefault="00404B18" w:rsidP="00404B18">
      <w:pPr>
        <w:tabs>
          <w:tab w:val="left" w:pos="2918"/>
        </w:tabs>
      </w:pPr>
      <w:r>
        <w:t>identificou que a automedicação compromete a titulação adequada da dose e está relacionada a distúrbios gastrointestinais severos,</w:t>
      </w:r>
    </w:p>
    <w:p w14:paraId="0A01DE97" w14:textId="77777777" w:rsidR="00404B18" w:rsidRDefault="00404B18" w:rsidP="00404B18">
      <w:pPr>
        <w:tabs>
          <w:tab w:val="left" w:pos="2918"/>
        </w:tabs>
      </w:pPr>
      <w:r>
        <w:t>risco de pancreatite aguda, colecistite, desequilíbrios hidroeletrolíticos com potencial insuficiência renal, além de sarcopenia e alterações psicológicas decorrentes da ausência de acompanhamento multidisciplinar. A facilidade de acesso ao fármaco em mercados paralelos e a</w:t>
      </w:r>
    </w:p>
    <w:p w14:paraId="04C50B0B" w14:textId="77777777" w:rsidR="00404B18" w:rsidRDefault="00404B18" w:rsidP="00404B18">
      <w:pPr>
        <w:tabs>
          <w:tab w:val="left" w:pos="2918"/>
        </w:tabs>
      </w:pPr>
      <w:r>
        <w:t>influência das redes sociais foram apontadas como fatores agravantes. Conclui</w:t>
      </w:r>
      <w:r>
        <w:rPr>
          <w:rFonts w:ascii="Cambria Math" w:hAnsi="Cambria Math" w:cs="Cambria Math"/>
        </w:rPr>
        <w:t>‑</w:t>
      </w:r>
      <w:r>
        <w:t>se que, apesar da elevada efic</w:t>
      </w:r>
      <w:r>
        <w:rPr>
          <w:rFonts w:ascii="Aptos" w:hAnsi="Aptos" w:cs="Aptos"/>
        </w:rPr>
        <w:t>á</w:t>
      </w:r>
      <w:r>
        <w:t>cia cl</w:t>
      </w:r>
      <w:r>
        <w:rPr>
          <w:rFonts w:ascii="Aptos" w:hAnsi="Aptos" w:cs="Aptos"/>
        </w:rPr>
        <w:t>í</w:t>
      </w:r>
      <w:r>
        <w:t>nica, o uso n</w:t>
      </w:r>
      <w:r>
        <w:rPr>
          <w:rFonts w:ascii="Aptos" w:hAnsi="Aptos" w:cs="Aptos"/>
        </w:rPr>
        <w:t>ã</w:t>
      </w:r>
      <w:r>
        <w:t>o</w:t>
      </w:r>
    </w:p>
    <w:p w14:paraId="164563B7" w14:textId="77777777" w:rsidR="00404B18" w:rsidRDefault="00404B18" w:rsidP="00404B18">
      <w:pPr>
        <w:tabs>
          <w:tab w:val="left" w:pos="2918"/>
        </w:tabs>
      </w:pPr>
      <w:r>
        <w:t>supervisionado expõe os indivíduos a danos evitáveis, reforçando a necessidade de políticas de farmacovigilância e de conscientização para assegurar o uso ético e seguro da medicação. A Comissão de Saúde, Promoção Social, Trabalho e Mulher, no âmbito de sua competência, entende que a propositura é meritória,</w:t>
      </w:r>
    </w:p>
    <w:p w14:paraId="7F0F183A" w14:textId="77777777" w:rsidR="00404B18" w:rsidRDefault="00404B18" w:rsidP="00404B18">
      <w:pPr>
        <w:tabs>
          <w:tab w:val="left" w:pos="2918"/>
        </w:tabs>
      </w:pPr>
      <w:r>
        <w:t xml:space="preserve">relevante e deve prosperar, eis que se justifica em face da elevada e crescente prevalência da obesidade grave, seus impactos sanitários e socioeconômicos, e pela necessidade de garantir acesso seguro, regulado e equitativo a tratamentos farmacológicos eficazes no âmbito do SUS, com critérios técnicos e acompanhamento multidisciplinar, sendo, portanto, favorável o parecer. Sala da </w:t>
      </w:r>
      <w:r>
        <w:lastRenderedPageBreak/>
        <w:t>Comissão de Saúde, Promoção Social, Trabalho e Mulher, em 19/08/2026. Ver. Ely Teruel (MDB) - Presidente Ver. Dra. Sandra Tadeu (PL) - Vice-presidente - Relatoria</w:t>
      </w:r>
    </w:p>
    <w:p w14:paraId="0121647B" w14:textId="77777777" w:rsidR="00404B18" w:rsidRDefault="00404B18" w:rsidP="00404B18">
      <w:pPr>
        <w:tabs>
          <w:tab w:val="left" w:pos="2918"/>
        </w:tabs>
      </w:pPr>
      <w:r>
        <w:t>Ver. Adilson Amadeu (UNIÃO)</w:t>
      </w:r>
    </w:p>
    <w:p w14:paraId="79187C73" w14:textId="77777777" w:rsidR="00404B18" w:rsidRDefault="00404B18" w:rsidP="00404B18">
      <w:pPr>
        <w:tabs>
          <w:tab w:val="left" w:pos="2918"/>
        </w:tabs>
      </w:pPr>
      <w:r>
        <w:t>Ver. Amanda Paschoal (PSOL)</w:t>
      </w:r>
    </w:p>
    <w:p w14:paraId="3B6B49B4" w14:textId="77777777" w:rsidR="00404B18" w:rsidRDefault="00404B18" w:rsidP="00404B18">
      <w:pPr>
        <w:tabs>
          <w:tab w:val="left" w:pos="2918"/>
        </w:tabs>
      </w:pPr>
      <w:r>
        <w:t>Ver. Roberto Tripoli (PV)</w:t>
      </w:r>
    </w:p>
    <w:p w14:paraId="1DF7626C" w14:textId="77777777" w:rsidR="00404B18" w:rsidRDefault="00404B18" w:rsidP="00404B18">
      <w:pPr>
        <w:tabs>
          <w:tab w:val="left" w:pos="2918"/>
        </w:tabs>
      </w:pPr>
      <w:r>
        <w:t>Ver. Simone Ganem (PODE)</w:t>
      </w:r>
    </w:p>
    <w:p w14:paraId="36878F85" w14:textId="77777777" w:rsidR="00404B18" w:rsidRDefault="00404B18" w:rsidP="00404B18">
      <w:pPr>
        <w:tabs>
          <w:tab w:val="left" w:pos="2918"/>
        </w:tabs>
      </w:pPr>
      <w:r>
        <w:t>PARECER N° 1174/2026 DA COMISSÃO DE SAÚDE, PROMOÇÃO SOCIAL, TRABALHO E MULHER SOBRE O PROJETO DE</w:t>
      </w:r>
    </w:p>
    <w:p w14:paraId="0999A355" w14:textId="77777777" w:rsidR="00404B18" w:rsidRDefault="00404B18" w:rsidP="00404B18">
      <w:pPr>
        <w:tabs>
          <w:tab w:val="left" w:pos="2918"/>
        </w:tabs>
      </w:pPr>
      <w:r>
        <w:t xml:space="preserve">EMENDA À LEI ORGÂNICA 01/2023. O presente projeto, de autoria dos nobres Vereadores Reis, João Ananias, Hélio Rodrigues, Professor Toninho </w:t>
      </w:r>
      <w:proofErr w:type="spellStart"/>
      <w:r>
        <w:t>Vespoli</w:t>
      </w:r>
      <w:proofErr w:type="spellEnd"/>
      <w:r>
        <w:t>, dá nova redação ao artigo 33 das Disposições Gerais e Transitórias, que dispõe sobre a alíquota de contribuição devida pelos aposentados e pensionistas do Regime Próprio de Previdência Social</w:t>
      </w:r>
    </w:p>
    <w:p w14:paraId="661BA854" w14:textId="77777777" w:rsidR="00404B18" w:rsidRDefault="00404B18" w:rsidP="00404B18">
      <w:pPr>
        <w:tabs>
          <w:tab w:val="left" w:pos="2918"/>
        </w:tabs>
      </w:pPr>
      <w:r>
        <w:t>A Comissão de Constituição, Justiça e Legislação Participativa exarou parecer pela legalidade. A Comissão de Administração Pública emitiu parecer favorável. No que concerne a este egrégio pleno avaliar, é relevante apontar que a proposta legislativa em pauta se refere diretamente ao</w:t>
      </w:r>
    </w:p>
    <w:p w14:paraId="4E157E0C" w14:textId="77777777" w:rsidR="00404B18" w:rsidRDefault="00404B18" w:rsidP="00404B18">
      <w:pPr>
        <w:tabs>
          <w:tab w:val="left" w:pos="2918"/>
        </w:tabs>
      </w:pPr>
      <w:r>
        <w:t>funcionalismo público municipal. Segundo a justificativa, emenda à Lei Orgânica nº 41/2021 promulgada por esta Casa Legislativa em 18</w:t>
      </w:r>
    </w:p>
    <w:p w14:paraId="299182E7" w14:textId="77777777" w:rsidR="00404B18" w:rsidRDefault="00404B18" w:rsidP="00404B18">
      <w:pPr>
        <w:tabs>
          <w:tab w:val="left" w:pos="2918"/>
        </w:tabs>
      </w:pPr>
      <w:r>
        <w:t>de novembro de 2021, ensejou inúmeras alterações voltadas à reestruturação do Regime Próprio de Previdência Social dos Servidores</w:t>
      </w:r>
    </w:p>
    <w:p w14:paraId="4E57AB03" w14:textId="77777777" w:rsidR="00404B18" w:rsidRDefault="00404B18" w:rsidP="00404B18">
      <w:pPr>
        <w:tabs>
          <w:tab w:val="left" w:pos="2918"/>
        </w:tabs>
      </w:pPr>
      <w:r>
        <w:t>Públicos Municipais (RPPS), nos moldes estabelecidos pela Emenda Constitucional nº 103, de 12 de novembro de 2019, a qual alterou o</w:t>
      </w:r>
    </w:p>
    <w:p w14:paraId="14487CCA" w14:textId="77777777" w:rsidR="00404B18" w:rsidRDefault="00404B18" w:rsidP="00404B18">
      <w:pPr>
        <w:tabs>
          <w:tab w:val="left" w:pos="2918"/>
        </w:tabs>
      </w:pPr>
      <w:r>
        <w:t>sistema de previdência social e estabeleceu as respectivas regras de transição e disposições transitórias no sistema previdenciário nacional. Em que pesem os compreensíveis esforços por parte do Executivo objetivando assegurar a higidez da previdência municipal,</w:t>
      </w:r>
    </w:p>
    <w:p w14:paraId="3BE81E09" w14:textId="77777777" w:rsidR="00404B18" w:rsidRDefault="00404B18" w:rsidP="00404B18">
      <w:pPr>
        <w:tabs>
          <w:tab w:val="left" w:pos="2918"/>
        </w:tabs>
      </w:pPr>
      <w:r>
        <w:t>faz-se inequívoca a constatação da injustiça cometida para com os aposentados e pensionistas oriundos do serviço público, os quais</w:t>
      </w:r>
    </w:p>
    <w:p w14:paraId="52D51224" w14:textId="77777777" w:rsidR="00404B18" w:rsidRDefault="00404B18" w:rsidP="00404B18">
      <w:pPr>
        <w:tabs>
          <w:tab w:val="left" w:pos="2918"/>
        </w:tabs>
      </w:pPr>
      <w:r>
        <w:t xml:space="preserve">sofreram um verdadeiro confisco de parte dos seus benefícios, sendo obrigados a contribuir sobre as parcelas dos proventos superiores ao </w:t>
      </w:r>
      <w:proofErr w:type="gramStart"/>
      <w:r>
        <w:t>salário mínimo</w:t>
      </w:r>
      <w:proofErr w:type="gramEnd"/>
      <w:r>
        <w:t>, suportando um considerável custo social com a redução do poder monetário dos seus benefícios. Os gravosos</w:t>
      </w:r>
    </w:p>
    <w:p w14:paraId="5325C4DF" w14:textId="77777777" w:rsidR="00404B18" w:rsidRDefault="00404B18" w:rsidP="00404B18">
      <w:pPr>
        <w:tabs>
          <w:tab w:val="left" w:pos="2918"/>
        </w:tabs>
      </w:pPr>
      <w:r>
        <w:lastRenderedPageBreak/>
        <w:t>impactos acarretados pela medida penalizam especialmente os segurados que auferem valores mais modestos, contribuindo para acirrar as mazelas decorrentes dos problemas sociais e econômicos que assolam o País. Aberração semelhante perpetrada no âmbito do Estado de São Paulo foi revogada com a aprovação da Lei Complementar 1.380, de 04/11/2022, que extinguiu o desconto de aposentados e pensionistas que recebem abaixo do teto estabelecido para o regime geral de previdência social. Sociologicamente, a mudança no dispositivo de alíquota previdenciária trará alterações na sociabilidade dos pensionistas e aposentados, pois terá impacto no acesso a bens materiais e imateriais dos indivíduos. É evidente que esse fato provoca reconfigurações na interação. Diante do exposto, esta Comissão se posiciona favoravelmente à propositura, sendo este o teor do parecer. Sala da Comissão de Saúde, Promoção Social, Trabalho e Mulher, em 19/08/2026. Ver. Ely Teruel (MDB) - Presidente Ver. Dra. Sandra Tadeu (PL) - Vice-presidente Ver. Adilson Amadeu (UNIÃO)</w:t>
      </w:r>
    </w:p>
    <w:p w14:paraId="6AFE7806" w14:textId="77777777" w:rsidR="00404B18" w:rsidRDefault="00404B18" w:rsidP="00404B18">
      <w:pPr>
        <w:tabs>
          <w:tab w:val="left" w:pos="2918"/>
        </w:tabs>
      </w:pPr>
      <w:r>
        <w:t>Ver. Amanda Paschoal (PSOL)</w:t>
      </w:r>
    </w:p>
    <w:p w14:paraId="3F4F764A" w14:textId="77777777" w:rsidR="00404B18" w:rsidRDefault="00404B18" w:rsidP="00404B18">
      <w:pPr>
        <w:tabs>
          <w:tab w:val="left" w:pos="2918"/>
        </w:tabs>
      </w:pPr>
      <w:r>
        <w:t>Ver. Roberto Tripoli (PV)</w:t>
      </w:r>
    </w:p>
    <w:p w14:paraId="32B8ADF8" w14:textId="6679D550" w:rsidR="00792A9B" w:rsidRPr="00792A9B" w:rsidRDefault="00404B18" w:rsidP="00404B18">
      <w:pPr>
        <w:tabs>
          <w:tab w:val="left" w:pos="2918"/>
        </w:tabs>
      </w:pPr>
      <w:r>
        <w:t>Ver. Simone Ganem (PODE) - Relatoria</w:t>
      </w:r>
    </w:p>
    <w:sectPr w:rsidR="00792A9B" w:rsidRPr="00792A9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625D2" w14:textId="77777777" w:rsidR="000C7E93" w:rsidRDefault="000C7E93" w:rsidP="00C867A1">
      <w:pPr>
        <w:spacing w:after="0" w:line="240" w:lineRule="auto"/>
      </w:pPr>
      <w:r>
        <w:separator/>
      </w:r>
    </w:p>
  </w:endnote>
  <w:endnote w:type="continuationSeparator" w:id="0">
    <w:p w14:paraId="6C1AB6B5" w14:textId="77777777" w:rsidR="000C7E93" w:rsidRDefault="000C7E93"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B60EE" w14:textId="77777777" w:rsidR="000C7E93" w:rsidRDefault="000C7E93" w:rsidP="00C867A1">
      <w:pPr>
        <w:spacing w:after="0" w:line="240" w:lineRule="auto"/>
      </w:pPr>
      <w:r>
        <w:separator/>
      </w:r>
    </w:p>
  </w:footnote>
  <w:footnote w:type="continuationSeparator" w:id="0">
    <w:p w14:paraId="0AE6A75F" w14:textId="77777777" w:rsidR="000C7E93" w:rsidRDefault="000C7E93"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B71C8"/>
    <w:rsid w:val="000C0BFB"/>
    <w:rsid w:val="000C2668"/>
    <w:rsid w:val="000C2CD2"/>
    <w:rsid w:val="000C320A"/>
    <w:rsid w:val="000C7DA0"/>
    <w:rsid w:val="000C7E93"/>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BE2"/>
    <w:rsid w:val="00185D2D"/>
    <w:rsid w:val="00191D86"/>
    <w:rsid w:val="00195268"/>
    <w:rsid w:val="001A06E1"/>
    <w:rsid w:val="001A0DF6"/>
    <w:rsid w:val="001A0E62"/>
    <w:rsid w:val="001A3369"/>
    <w:rsid w:val="001A38CD"/>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A08FD"/>
    <w:rsid w:val="002A23A9"/>
    <w:rsid w:val="002A36AD"/>
    <w:rsid w:val="002A706C"/>
    <w:rsid w:val="002A75E1"/>
    <w:rsid w:val="002B0F9A"/>
    <w:rsid w:val="002B1EAB"/>
    <w:rsid w:val="002B6A38"/>
    <w:rsid w:val="002B704E"/>
    <w:rsid w:val="002B7A99"/>
    <w:rsid w:val="002C11DA"/>
    <w:rsid w:val="002D3A2A"/>
    <w:rsid w:val="002D57D9"/>
    <w:rsid w:val="002D66EB"/>
    <w:rsid w:val="002E1E68"/>
    <w:rsid w:val="002E42D0"/>
    <w:rsid w:val="002E59DE"/>
    <w:rsid w:val="002E76B7"/>
    <w:rsid w:val="002F5481"/>
    <w:rsid w:val="0030175E"/>
    <w:rsid w:val="00301953"/>
    <w:rsid w:val="00302837"/>
    <w:rsid w:val="0030526B"/>
    <w:rsid w:val="00305C8E"/>
    <w:rsid w:val="00306BDB"/>
    <w:rsid w:val="00307817"/>
    <w:rsid w:val="00307BAA"/>
    <w:rsid w:val="00310A39"/>
    <w:rsid w:val="00311509"/>
    <w:rsid w:val="00314AA3"/>
    <w:rsid w:val="00316773"/>
    <w:rsid w:val="00320AEA"/>
    <w:rsid w:val="00327AA7"/>
    <w:rsid w:val="00342383"/>
    <w:rsid w:val="00344B9D"/>
    <w:rsid w:val="00345856"/>
    <w:rsid w:val="00356453"/>
    <w:rsid w:val="00357CCE"/>
    <w:rsid w:val="003827A8"/>
    <w:rsid w:val="00382F39"/>
    <w:rsid w:val="0039141E"/>
    <w:rsid w:val="003947E3"/>
    <w:rsid w:val="00394B1F"/>
    <w:rsid w:val="00395482"/>
    <w:rsid w:val="00397C58"/>
    <w:rsid w:val="003B7D34"/>
    <w:rsid w:val="003C2807"/>
    <w:rsid w:val="003C3C91"/>
    <w:rsid w:val="003C6252"/>
    <w:rsid w:val="003D06E4"/>
    <w:rsid w:val="003E0627"/>
    <w:rsid w:val="00404289"/>
    <w:rsid w:val="00404B18"/>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5382"/>
    <w:rsid w:val="004B6580"/>
    <w:rsid w:val="004B7185"/>
    <w:rsid w:val="004C078C"/>
    <w:rsid w:val="004C37F1"/>
    <w:rsid w:val="004D1202"/>
    <w:rsid w:val="004D5B5D"/>
    <w:rsid w:val="004E71DA"/>
    <w:rsid w:val="004F0F70"/>
    <w:rsid w:val="004F4332"/>
    <w:rsid w:val="004F46E4"/>
    <w:rsid w:val="004F6A36"/>
    <w:rsid w:val="005050A3"/>
    <w:rsid w:val="005079A0"/>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4D72"/>
    <w:rsid w:val="005D7EE7"/>
    <w:rsid w:val="005D7EFA"/>
    <w:rsid w:val="005F4B52"/>
    <w:rsid w:val="005F4CE7"/>
    <w:rsid w:val="005F59C3"/>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2A9B"/>
    <w:rsid w:val="007939D3"/>
    <w:rsid w:val="00796E39"/>
    <w:rsid w:val="00797B3F"/>
    <w:rsid w:val="007A1B12"/>
    <w:rsid w:val="007B36D0"/>
    <w:rsid w:val="007B6E2D"/>
    <w:rsid w:val="007C13F8"/>
    <w:rsid w:val="007C2D8C"/>
    <w:rsid w:val="007D1B8D"/>
    <w:rsid w:val="007D7044"/>
    <w:rsid w:val="007D73DB"/>
    <w:rsid w:val="007E09F9"/>
    <w:rsid w:val="007F05D5"/>
    <w:rsid w:val="007F29E9"/>
    <w:rsid w:val="007F3F63"/>
    <w:rsid w:val="007F7500"/>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23C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997"/>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4801"/>
    <w:rsid w:val="00B661F1"/>
    <w:rsid w:val="00B67320"/>
    <w:rsid w:val="00B713EC"/>
    <w:rsid w:val="00B936FD"/>
    <w:rsid w:val="00B9404B"/>
    <w:rsid w:val="00B9570E"/>
    <w:rsid w:val="00BA46F2"/>
    <w:rsid w:val="00BA5C27"/>
    <w:rsid w:val="00BB20FC"/>
    <w:rsid w:val="00BB55F8"/>
    <w:rsid w:val="00BB5CB9"/>
    <w:rsid w:val="00BB773F"/>
    <w:rsid w:val="00BD2638"/>
    <w:rsid w:val="00BE213B"/>
    <w:rsid w:val="00BE497A"/>
    <w:rsid w:val="00BE67CF"/>
    <w:rsid w:val="00BF0726"/>
    <w:rsid w:val="00BF34C3"/>
    <w:rsid w:val="00C0380A"/>
    <w:rsid w:val="00C27C59"/>
    <w:rsid w:val="00C31584"/>
    <w:rsid w:val="00C3353D"/>
    <w:rsid w:val="00C43235"/>
    <w:rsid w:val="00C5295A"/>
    <w:rsid w:val="00C613D1"/>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51607"/>
    <w:rsid w:val="00E52897"/>
    <w:rsid w:val="00E60A93"/>
    <w:rsid w:val="00E65020"/>
    <w:rsid w:val="00E650A7"/>
    <w:rsid w:val="00E70411"/>
    <w:rsid w:val="00E715C2"/>
    <w:rsid w:val="00E73130"/>
    <w:rsid w:val="00E74EF3"/>
    <w:rsid w:val="00E83133"/>
    <w:rsid w:val="00E86FCE"/>
    <w:rsid w:val="00E8740D"/>
    <w:rsid w:val="00E9082F"/>
    <w:rsid w:val="00EA2292"/>
    <w:rsid w:val="00EB1DFC"/>
    <w:rsid w:val="00EB344A"/>
    <w:rsid w:val="00EB5327"/>
    <w:rsid w:val="00EC67D7"/>
    <w:rsid w:val="00ED077E"/>
    <w:rsid w:val="00EE46DC"/>
    <w:rsid w:val="00EF3AB1"/>
    <w:rsid w:val="00F01BD3"/>
    <w:rsid w:val="00F02EAC"/>
    <w:rsid w:val="00F073FB"/>
    <w:rsid w:val="00F10EE0"/>
    <w:rsid w:val="00F10F1B"/>
    <w:rsid w:val="00F13FFC"/>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641"/>
    <w:rsid w:val="00F90F37"/>
    <w:rsid w:val="00F97FA1"/>
    <w:rsid w:val="00FA0330"/>
    <w:rsid w:val="00FA37A8"/>
    <w:rsid w:val="00FB1317"/>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72</Pages>
  <Words>25113</Words>
  <Characters>135612</Characters>
  <Application>Microsoft Office Word</Application>
  <DocSecurity>0</DocSecurity>
  <Lines>1130</Lines>
  <Paragraphs>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Caio Dambrauskas Matos</cp:lastModifiedBy>
  <cp:revision>9</cp:revision>
  <dcterms:created xsi:type="dcterms:W3CDTF">2026-08-12T15:48:00Z</dcterms:created>
  <dcterms:modified xsi:type="dcterms:W3CDTF">2026-08-21T16:18:00Z</dcterms:modified>
</cp:coreProperties>
</file>