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A34D0" w14:textId="77777777" w:rsidR="00024C4D" w:rsidRDefault="00024C4D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D890678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2025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7330E80C" w14:textId="77777777" w:rsidR="00024C4D" w:rsidRDefault="00024C4D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28CA47CA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>A PLENÁRIA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AF1E5E">
        <w:rPr>
          <w:rFonts w:ascii="Calibri" w:eastAsia="Calibri" w:hAnsi="Calibri" w:cs="Calibri"/>
          <w:b/>
          <w:sz w:val="28"/>
          <w:szCs w:val="28"/>
        </w:rPr>
        <w:t>26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43B589E0" w14:textId="77777777" w:rsidR="00024C4D" w:rsidRDefault="00024C4D">
      <w:pPr>
        <w:jc w:val="both"/>
        <w:rPr>
          <w:rFonts w:ascii="Calibri" w:eastAsia="Calibri" w:hAnsi="Calibri" w:cs="Calibri"/>
        </w:rPr>
      </w:pPr>
    </w:p>
    <w:p w14:paraId="7F3E54ED" w14:textId="09C36CF0" w:rsidR="000B4615" w:rsidRPr="00AF1E5E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>Calendário Oficial do ano de 2025</w:t>
      </w:r>
      <w:r w:rsidRPr="004D1A73">
        <w:rPr>
          <w:rFonts w:ascii="Calibri" w:eastAsia="Calibri" w:hAnsi="Calibri" w:cs="Calibri"/>
        </w:rPr>
        <w:t xml:space="preserve"> 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 w:rsidR="00AF1E5E">
        <w:rPr>
          <w:rFonts w:ascii="Calibri" w:eastAsia="Calibri" w:hAnsi="Calibri" w:cs="Calibri"/>
        </w:rPr>
        <w:t xml:space="preserve">a Plenária do dia 06 </w:t>
      </w:r>
      <w:r w:rsidRPr="004D1A73">
        <w:rPr>
          <w:rFonts w:ascii="Calibri" w:eastAsia="Calibri" w:hAnsi="Calibri" w:cs="Calibri"/>
        </w:rPr>
        <w:t xml:space="preserve">de </w:t>
      </w:r>
      <w:r w:rsidR="00AF1E5E" w:rsidRPr="00AF1E5E">
        <w:rPr>
          <w:rFonts w:ascii="Calibri" w:eastAsia="Calibri" w:hAnsi="Calibri" w:cs="Calibri"/>
          <w:b/>
          <w:bCs/>
        </w:rPr>
        <w:t>novembro</w:t>
      </w:r>
      <w:r w:rsidRPr="004D1A73">
        <w:rPr>
          <w:rFonts w:ascii="Calibri" w:eastAsia="Calibri" w:hAnsi="Calibri" w:cs="Calibri"/>
          <w:b/>
          <w:bCs/>
        </w:rPr>
        <w:t xml:space="preserve"> </w:t>
      </w:r>
      <w:r w:rsidR="00AF1E5E">
        <w:rPr>
          <w:rFonts w:ascii="Calibri" w:eastAsia="Calibri" w:hAnsi="Calibri" w:cs="Calibri"/>
          <w:b/>
          <w:bCs/>
        </w:rPr>
        <w:t xml:space="preserve">foi antecipada para o dia 03 de novembro </w:t>
      </w:r>
      <w:r>
        <w:rPr>
          <w:rFonts w:ascii="Calibri" w:eastAsia="Calibri" w:hAnsi="Calibri" w:cs="Calibri"/>
        </w:rPr>
        <w:t>(</w:t>
      </w:r>
      <w:r w:rsidRPr="004D1A73">
        <w:rPr>
          <w:rFonts w:ascii="Calibri" w:eastAsia="Calibri" w:hAnsi="Calibri" w:cs="Calibri"/>
        </w:rPr>
        <w:t>gestão 2023/2025</w:t>
      </w:r>
      <w:r>
        <w:rPr>
          <w:rFonts w:ascii="Calibri" w:eastAsia="Calibri" w:hAnsi="Calibri" w:cs="Calibri"/>
        </w:rPr>
        <w:t xml:space="preserve">). Assim, </w:t>
      </w:r>
      <w:r w:rsidRPr="004D1A73">
        <w:rPr>
          <w:rFonts w:ascii="Calibri" w:eastAsia="Calibri" w:hAnsi="Calibri" w:cs="Calibri"/>
        </w:rPr>
        <w:t>não foi realizada reunião</w:t>
      </w:r>
      <w:r>
        <w:rPr>
          <w:rFonts w:ascii="Calibri" w:eastAsia="Calibri" w:hAnsi="Calibri" w:cs="Calibri"/>
        </w:rPr>
        <w:t xml:space="preserve"> ordinária</w:t>
      </w:r>
      <w:r w:rsidRPr="004D1A73">
        <w:rPr>
          <w:rFonts w:ascii="Calibri" w:eastAsia="Calibri" w:hAnsi="Calibri" w:cs="Calibri"/>
        </w:rPr>
        <w:t xml:space="preserve"> d</w:t>
      </w:r>
      <w:r w:rsidR="008F539E">
        <w:rPr>
          <w:rFonts w:ascii="Calibri" w:eastAsia="Calibri" w:hAnsi="Calibri" w:cs="Calibri"/>
        </w:rPr>
        <w:t xml:space="preserve">a Plenária do </w:t>
      </w:r>
      <w:r w:rsidRPr="004D1A73">
        <w:rPr>
          <w:rFonts w:ascii="Calibri" w:eastAsia="Calibri" w:hAnsi="Calibri" w:cs="Calibri"/>
        </w:rPr>
        <w:t>CMI</w:t>
      </w:r>
      <w:r>
        <w:rPr>
          <w:rFonts w:ascii="Calibri" w:eastAsia="Calibri" w:hAnsi="Calibri" w:cs="Calibri"/>
        </w:rPr>
        <w:t xml:space="preserve"> </w:t>
      </w:r>
      <w:r w:rsidR="00DC033D">
        <w:rPr>
          <w:rFonts w:ascii="Calibri" w:eastAsia="Calibri" w:hAnsi="Calibri" w:cs="Calibri"/>
        </w:rPr>
        <w:t xml:space="preserve">no </w:t>
      </w:r>
      <w:r w:rsidR="00AF1E5E">
        <w:rPr>
          <w:rFonts w:ascii="Calibri" w:eastAsia="Calibri" w:hAnsi="Calibri" w:cs="Calibri"/>
        </w:rPr>
        <w:t>dia</w:t>
      </w:r>
      <w:r w:rsidR="00DC033D">
        <w:rPr>
          <w:rFonts w:ascii="Calibri" w:eastAsia="Calibri" w:hAnsi="Calibri" w:cs="Calibri"/>
        </w:rPr>
        <w:t xml:space="preserve"> em questão</w:t>
      </w:r>
      <w:r w:rsidR="00024C4D">
        <w:rPr>
          <w:rFonts w:ascii="Calibri" w:eastAsia="Calibri" w:hAnsi="Calibri" w:cs="Calibri"/>
        </w:rPr>
        <w:t>, conforme Calendário previamente divulgado.</w:t>
      </w:r>
    </w:p>
    <w:p w14:paraId="1F4B3FCD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5DB18004" w14:textId="77777777" w:rsidR="00024C4D" w:rsidRDefault="00024C4D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FB1D55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1AC92445" w14:textId="77777777" w:rsidR="006D7723" w:rsidRDefault="006D7723">
      <w:pPr>
        <w:rPr>
          <w:rFonts w:ascii="Calibri" w:eastAsia="Calibri" w:hAnsi="Calibri" w:cs="Calibri"/>
          <w:b/>
        </w:rPr>
      </w:pPr>
    </w:p>
    <w:p w14:paraId="3D1038D7" w14:textId="77777777" w:rsidR="00024C4D" w:rsidRDefault="00024C4D">
      <w:pPr>
        <w:rPr>
          <w:rFonts w:ascii="Calibri" w:eastAsia="Calibri" w:hAnsi="Calibri" w:cs="Calibri"/>
          <w:b/>
        </w:rPr>
      </w:pPr>
    </w:p>
    <w:p w14:paraId="74E92307" w14:textId="251365DA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>
        <w:rPr>
          <w:rFonts w:ascii="Calibri" w:eastAsia="Calibri" w:hAnsi="Calibri" w:cs="Calibri"/>
          <w:bCs/>
        </w:rPr>
        <w:t xml:space="preserve">5 </w:t>
      </w:r>
      <w:r w:rsidRPr="0052134A">
        <w:rPr>
          <w:rFonts w:ascii="Calibri" w:eastAsia="Calibri" w:hAnsi="Calibri" w:cs="Calibri"/>
          <w:bCs/>
        </w:rPr>
        <w:t xml:space="preserve">estão sujeitas a alteração mediante deliberação </w:t>
      </w:r>
      <w:r>
        <w:rPr>
          <w:rFonts w:ascii="Calibri" w:eastAsia="Calibri" w:hAnsi="Calibri" w:cs="Calibri"/>
          <w:bCs/>
        </w:rPr>
        <w:t>do colegiado.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6C8EDB6D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SMDHC.</w:t>
      </w:r>
    </w:p>
    <w:p w14:paraId="74D7098E" w14:textId="77777777" w:rsidR="00A16D16" w:rsidRDefault="00A16D16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24C4D"/>
    <w:rsid w:val="00072004"/>
    <w:rsid w:val="000B4615"/>
    <w:rsid w:val="001006A2"/>
    <w:rsid w:val="001D0EE4"/>
    <w:rsid w:val="0021502E"/>
    <w:rsid w:val="00231608"/>
    <w:rsid w:val="002350BC"/>
    <w:rsid w:val="002637F6"/>
    <w:rsid w:val="00331BB7"/>
    <w:rsid w:val="00380D8E"/>
    <w:rsid w:val="003869D4"/>
    <w:rsid w:val="004A2023"/>
    <w:rsid w:val="004D1A73"/>
    <w:rsid w:val="0052134A"/>
    <w:rsid w:val="005825DD"/>
    <w:rsid w:val="005E5AFE"/>
    <w:rsid w:val="005F7381"/>
    <w:rsid w:val="006071F9"/>
    <w:rsid w:val="00675D57"/>
    <w:rsid w:val="006B1DB4"/>
    <w:rsid w:val="006D1A38"/>
    <w:rsid w:val="006D7723"/>
    <w:rsid w:val="007744C8"/>
    <w:rsid w:val="00794275"/>
    <w:rsid w:val="007A6072"/>
    <w:rsid w:val="00827680"/>
    <w:rsid w:val="008D1849"/>
    <w:rsid w:val="008F539E"/>
    <w:rsid w:val="009D4B2C"/>
    <w:rsid w:val="00A16D16"/>
    <w:rsid w:val="00AE3F50"/>
    <w:rsid w:val="00AF1E5E"/>
    <w:rsid w:val="00AF559F"/>
    <w:rsid w:val="00BF3171"/>
    <w:rsid w:val="00C635BC"/>
    <w:rsid w:val="00D666FC"/>
    <w:rsid w:val="00D77855"/>
    <w:rsid w:val="00DB043C"/>
    <w:rsid w:val="00DC033D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SimplesTabela2">
    <w:name w:val="Plain Table 2"/>
    <w:basedOn w:val="Tabelanormal"/>
    <w:uiPriority w:val="42"/>
    <w:rsid w:val="00AF1E5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13</cp:revision>
  <cp:lastPrinted>2025-11-28T15:33:00Z</cp:lastPrinted>
  <dcterms:created xsi:type="dcterms:W3CDTF">2025-01-22T13:16:00Z</dcterms:created>
  <dcterms:modified xsi:type="dcterms:W3CDTF">2025-11-28T15:33:00Z</dcterms:modified>
</cp:coreProperties>
</file>