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86"/>
        <w:ind w:left="2074" w:right="394" w:hanging="1581"/>
      </w:pPr>
      <w:r>
        <w:rPr/>
        <w:t>EXTRATO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ATA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DÉCIMA</w:t>
      </w:r>
      <w:r>
        <w:rPr>
          <w:spacing w:val="-3"/>
        </w:rPr>
        <w:t> </w:t>
      </w:r>
      <w:r>
        <w:rPr/>
        <w:t>REUNIÃO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COMITÊ</w:t>
      </w:r>
      <w:r>
        <w:rPr>
          <w:spacing w:val="-2"/>
        </w:rPr>
        <w:t> </w:t>
      </w:r>
      <w:r>
        <w:rPr/>
        <w:t>EXECUTIVO</w:t>
      </w:r>
      <w:r>
        <w:rPr>
          <w:spacing w:val="-7"/>
        </w:rPr>
        <w:t> </w:t>
      </w:r>
      <w:r>
        <w:rPr/>
        <w:t>DO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 ABASTECIMENTO ALIMENTAR DE SÃO PAULO (FAASP)</w:t>
      </w:r>
    </w:p>
    <w:p>
      <w:pPr>
        <w:pStyle w:val="BodyText"/>
        <w:rPr>
          <w:b/>
        </w:rPr>
      </w:pPr>
    </w:p>
    <w:p>
      <w:pPr>
        <w:pStyle w:val="BodyText"/>
        <w:spacing w:before="20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6" w:val="left" w:leader="none"/>
        </w:tabs>
        <w:spacing w:line="276" w:lineRule="auto" w:before="0" w:after="0"/>
        <w:ind w:left="143" w:right="1559" w:firstLine="0"/>
        <w:jc w:val="both"/>
        <w:rPr>
          <w:sz w:val="22"/>
        </w:rPr>
      </w:pPr>
      <w:r>
        <w:rPr>
          <w:sz w:val="22"/>
        </w:rPr>
        <w:t>O Comitê Executivo do Fundo de Abastecimento Alimentar de São Paulo (FAASP), no uso das atribuições que lhes são conferidas pelo art. 10 e seguintes da Lei Municipal n.º 17.819, de 29 de junho de 2022, bem como pelo art. 5º do Decreto Municipal n.º 61.564, de 8 de julho de 2022, torna público o extrato de ata da sua Décima Reunião Ordinária, realizada no dia 20 de maio de </w:t>
      </w:r>
      <w:r>
        <w:rPr>
          <w:spacing w:val="-2"/>
          <w:sz w:val="22"/>
        </w:rPr>
        <w:t>2025.</w:t>
      </w:r>
    </w:p>
    <w:p>
      <w:pPr>
        <w:pStyle w:val="BodyText"/>
        <w:spacing w:line="276" w:lineRule="auto" w:before="122"/>
        <w:ind w:left="143" w:right="1552"/>
        <w:jc w:val="both"/>
      </w:pPr>
      <w:r>
        <w:rPr/>
        <w:t>Ao</w:t>
      </w:r>
      <w:r>
        <w:rPr>
          <w:spacing w:val="-8"/>
        </w:rPr>
        <w:t> </w:t>
      </w:r>
      <w:r>
        <w:rPr/>
        <w:t>vigésimo</w:t>
      </w:r>
      <w:r>
        <w:rPr>
          <w:spacing w:val="-8"/>
        </w:rPr>
        <w:t> </w:t>
      </w:r>
      <w:r>
        <w:rPr/>
        <w:t>dia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mês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maio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dois</w:t>
      </w:r>
      <w:r>
        <w:rPr>
          <w:spacing w:val="-9"/>
        </w:rPr>
        <w:t> </w:t>
      </w:r>
      <w:r>
        <w:rPr/>
        <w:t>mil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vinte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cinco,</w:t>
      </w:r>
      <w:r>
        <w:rPr>
          <w:spacing w:val="-7"/>
        </w:rPr>
        <w:t> </w:t>
      </w:r>
      <w:r>
        <w:rPr/>
        <w:t>às</w:t>
      </w:r>
      <w:r>
        <w:rPr>
          <w:spacing w:val="-8"/>
        </w:rPr>
        <w:t> </w:t>
      </w:r>
      <w:r>
        <w:rPr/>
        <w:t>15h,</w:t>
      </w:r>
      <w:r>
        <w:rPr>
          <w:spacing w:val="-8"/>
        </w:rPr>
        <w:t> </w:t>
      </w:r>
      <w:r>
        <w:rPr/>
        <w:t>em</w:t>
      </w:r>
      <w:r>
        <w:rPr>
          <w:spacing w:val="-2"/>
        </w:rPr>
        <w:t> </w:t>
      </w:r>
      <w:r>
        <w:rPr/>
        <w:t>reunião</w:t>
      </w:r>
      <w:r>
        <w:rPr>
          <w:spacing w:val="-9"/>
        </w:rPr>
        <w:t> </w:t>
      </w:r>
      <w:r>
        <w:rPr/>
        <w:t>virtual</w:t>
      </w:r>
      <w:r>
        <w:rPr>
          <w:spacing w:val="-3"/>
        </w:rPr>
        <w:t> </w:t>
      </w:r>
      <w:r>
        <w:rPr/>
        <w:t>realizada</w:t>
      </w:r>
      <w:r>
        <w:rPr>
          <w:spacing w:val="-8"/>
        </w:rPr>
        <w:t> </w:t>
      </w:r>
      <w:r>
        <w:rPr/>
        <w:t>por meio da plataforma </w:t>
      </w:r>
      <w:r>
        <w:rPr>
          <w:i/>
        </w:rPr>
        <w:t>Microsoft Teams</w:t>
      </w:r>
      <w:r>
        <w:rPr/>
        <w:t>, iniciou-se a Décima Reunião Ordinária do Comitê Executivo do</w:t>
      </w:r>
      <w:r>
        <w:rPr>
          <w:spacing w:val="-3"/>
        </w:rPr>
        <w:t> </w:t>
      </w:r>
      <w:r>
        <w:rPr/>
        <w:t>FAASP,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a presença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quórum</w:t>
      </w:r>
      <w:r>
        <w:rPr>
          <w:spacing w:val="-3"/>
        </w:rPr>
        <w:t> </w:t>
      </w:r>
      <w:r>
        <w:rPr/>
        <w:t>necessário</w:t>
      </w:r>
      <w:r>
        <w:rPr>
          <w:spacing w:val="-3"/>
        </w:rPr>
        <w:t> </w:t>
      </w:r>
      <w:r>
        <w:rPr/>
        <w:t>à realização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deliberações (maioria</w:t>
      </w:r>
      <w:r>
        <w:rPr>
          <w:spacing w:val="-2"/>
        </w:rPr>
        <w:t> </w:t>
      </w:r>
      <w:r>
        <w:rPr/>
        <w:t>simples</w:t>
      </w:r>
      <w:r>
        <w:rPr>
          <w:spacing w:val="-2"/>
        </w:rPr>
        <w:t> </w:t>
      </w:r>
      <w:r>
        <w:rPr/>
        <w:t>de quatro membros).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Heading1"/>
        <w:ind w:left="143"/>
        <w:jc w:val="both"/>
      </w:pPr>
      <w:r>
        <w:rPr/>
        <w:t>Membros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Comitê</w:t>
      </w:r>
      <w:r>
        <w:rPr>
          <w:spacing w:val="-8"/>
        </w:rPr>
        <w:t> </w:t>
      </w:r>
      <w:r>
        <w:rPr/>
        <w:t>Executivo </w:t>
      </w:r>
      <w:r>
        <w:rPr>
          <w:spacing w:val="-2"/>
        </w:rPr>
        <w:t>presentes:</w:t>
      </w:r>
    </w:p>
    <w:p>
      <w:pPr>
        <w:pStyle w:val="BodyText"/>
        <w:rPr>
          <w:b/>
        </w:rPr>
      </w:pPr>
    </w:p>
    <w:p>
      <w:pPr>
        <w:pStyle w:val="BodyText"/>
        <w:spacing w:before="49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0" w:after="0"/>
        <w:ind w:left="742" w:right="0" w:hanging="358"/>
        <w:jc w:val="left"/>
        <w:rPr>
          <w:sz w:val="22"/>
        </w:rPr>
      </w:pPr>
      <w:r>
        <w:rPr>
          <w:sz w:val="22"/>
        </w:rPr>
        <w:t>Regina</w:t>
      </w:r>
      <w:r>
        <w:rPr>
          <w:spacing w:val="-3"/>
          <w:sz w:val="22"/>
        </w:rPr>
        <w:t> </w:t>
      </w:r>
      <w:r>
        <w:rPr>
          <w:sz w:val="22"/>
        </w:rPr>
        <w:t>Celia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Silveira</w:t>
      </w:r>
      <w:r>
        <w:rPr>
          <w:spacing w:val="-3"/>
          <w:sz w:val="22"/>
        </w:rPr>
        <w:t> </w:t>
      </w:r>
      <w:r>
        <w:rPr>
          <w:sz w:val="22"/>
        </w:rPr>
        <w:t>Santana</w:t>
      </w:r>
      <w:r>
        <w:rPr>
          <w:spacing w:val="-1"/>
          <w:sz w:val="22"/>
        </w:rPr>
        <w:t> </w:t>
      </w:r>
      <w:r>
        <w:rPr>
          <w:sz w:val="22"/>
        </w:rPr>
        <w:t>- Secretária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Direitos</w:t>
      </w:r>
      <w:r>
        <w:rPr>
          <w:spacing w:val="-4"/>
          <w:sz w:val="22"/>
        </w:rPr>
        <w:t> </w:t>
      </w:r>
      <w:r>
        <w:rPr>
          <w:sz w:val="22"/>
        </w:rPr>
        <w:t>Humanos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46"/>
          <w:sz w:val="22"/>
        </w:rPr>
        <w:t> </w:t>
      </w:r>
      <w:r>
        <w:rPr>
          <w:spacing w:val="-2"/>
          <w:sz w:val="22"/>
        </w:rPr>
        <w:t>Cidadania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67" w:lineRule="exact" w:before="2" w:after="0"/>
        <w:ind w:left="742" w:right="0" w:hanging="358"/>
        <w:jc w:val="left"/>
        <w:rPr>
          <w:sz w:val="22"/>
        </w:rPr>
      </w:pPr>
      <w:r>
        <w:rPr>
          <w:sz w:val="22"/>
        </w:rPr>
        <w:t>Vitor</w:t>
      </w:r>
      <w:r>
        <w:rPr>
          <w:spacing w:val="-11"/>
          <w:sz w:val="22"/>
        </w:rPr>
        <w:t> </w:t>
      </w:r>
      <w:r>
        <w:rPr>
          <w:sz w:val="22"/>
        </w:rPr>
        <w:t>Arruda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Secretário</w:t>
      </w:r>
      <w:r>
        <w:rPr>
          <w:spacing w:val="-9"/>
          <w:sz w:val="22"/>
        </w:rPr>
        <w:t> </w:t>
      </w:r>
      <w:r>
        <w:rPr>
          <w:sz w:val="22"/>
        </w:rPr>
        <w:t>Executivo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Segurança</w:t>
      </w:r>
      <w:r>
        <w:rPr>
          <w:spacing w:val="-7"/>
          <w:sz w:val="22"/>
        </w:rPr>
        <w:t> </w:t>
      </w:r>
      <w:r>
        <w:rPr>
          <w:sz w:val="22"/>
        </w:rPr>
        <w:t>Alimentar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Nutricional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36"/>
          <w:sz w:val="22"/>
        </w:rPr>
        <w:t> </w:t>
      </w:r>
      <w:r>
        <w:rPr>
          <w:spacing w:val="-2"/>
          <w:sz w:val="22"/>
        </w:rPr>
        <w:t>Abastecimento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67" w:lineRule="exact" w:before="0" w:after="0"/>
        <w:ind w:left="742" w:right="0" w:hanging="358"/>
        <w:jc w:val="left"/>
        <w:rPr>
          <w:sz w:val="22"/>
        </w:rPr>
      </w:pPr>
      <w:r>
        <w:rPr>
          <w:sz w:val="22"/>
        </w:rPr>
        <w:t>Stella</w:t>
      </w:r>
      <w:r>
        <w:rPr>
          <w:spacing w:val="-5"/>
          <w:sz w:val="22"/>
        </w:rPr>
        <w:t> </w:t>
      </w:r>
      <w:r>
        <w:rPr>
          <w:sz w:val="22"/>
        </w:rPr>
        <w:t>Verzolla</w:t>
      </w:r>
      <w:r>
        <w:rPr>
          <w:spacing w:val="-3"/>
          <w:sz w:val="22"/>
        </w:rPr>
        <w:t> </w:t>
      </w:r>
      <w:r>
        <w:rPr>
          <w:sz w:val="22"/>
        </w:rPr>
        <w:t>- Secretária</w:t>
      </w:r>
      <w:r>
        <w:rPr>
          <w:spacing w:val="-3"/>
          <w:sz w:val="22"/>
        </w:rPr>
        <w:t> </w:t>
      </w:r>
      <w:r>
        <w:rPr>
          <w:sz w:val="22"/>
        </w:rPr>
        <w:t>Adjunta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Secretaria</w:t>
      </w:r>
      <w:r>
        <w:rPr>
          <w:spacing w:val="-3"/>
          <w:sz w:val="22"/>
        </w:rPr>
        <w:t> </w:t>
      </w:r>
      <w:r>
        <w:rPr>
          <w:sz w:val="22"/>
        </w:rPr>
        <w:t>Municipal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Direitos</w:t>
      </w:r>
      <w:r>
        <w:rPr>
          <w:spacing w:val="-4"/>
          <w:sz w:val="22"/>
        </w:rPr>
        <w:t> </w:t>
      </w:r>
      <w:r>
        <w:rPr>
          <w:sz w:val="22"/>
        </w:rPr>
        <w:t>Humanos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Cidadania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  <w:tab w:pos="744" w:val="left" w:leader="none"/>
        </w:tabs>
        <w:spacing w:line="240" w:lineRule="auto" w:before="1" w:after="0"/>
        <w:ind w:left="744" w:right="1432" w:hanging="360"/>
        <w:jc w:val="left"/>
        <w:rPr>
          <w:sz w:val="22"/>
        </w:rPr>
      </w:pPr>
      <w:r>
        <w:rPr>
          <w:sz w:val="22"/>
        </w:rPr>
        <w:t>Arthur</w:t>
      </w:r>
      <w:r>
        <w:rPr>
          <w:spacing w:val="-11"/>
          <w:sz w:val="22"/>
        </w:rPr>
        <w:t> </w:t>
      </w:r>
      <w:r>
        <w:rPr>
          <w:sz w:val="22"/>
        </w:rPr>
        <w:t>Xavier</w:t>
      </w:r>
      <w:r>
        <w:rPr>
          <w:spacing w:val="-10"/>
          <w:sz w:val="22"/>
        </w:rPr>
        <w:t> </w:t>
      </w:r>
      <w:r>
        <w:rPr>
          <w:sz w:val="22"/>
        </w:rPr>
        <w:t>–</w:t>
      </w:r>
      <w:r>
        <w:rPr>
          <w:spacing w:val="-9"/>
          <w:sz w:val="22"/>
        </w:rPr>
        <w:t> </w:t>
      </w:r>
      <w:r>
        <w:rPr>
          <w:sz w:val="22"/>
        </w:rPr>
        <w:t>Coordenador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Segurança</w:t>
      </w:r>
      <w:r>
        <w:rPr>
          <w:spacing w:val="-10"/>
          <w:sz w:val="22"/>
        </w:rPr>
        <w:t> </w:t>
      </w:r>
      <w:r>
        <w:rPr>
          <w:sz w:val="22"/>
        </w:rPr>
        <w:t>Alimentar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Nutricional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Secretaria</w:t>
      </w:r>
      <w:r>
        <w:rPr>
          <w:spacing w:val="-10"/>
          <w:sz w:val="22"/>
        </w:rPr>
        <w:t> </w:t>
      </w:r>
      <w:r>
        <w:rPr>
          <w:sz w:val="22"/>
        </w:rPr>
        <w:t>Municipal</w:t>
      </w:r>
      <w:r>
        <w:rPr>
          <w:spacing w:val="-10"/>
          <w:sz w:val="22"/>
        </w:rPr>
        <w:t> </w:t>
      </w:r>
      <w:r>
        <w:rPr>
          <w:sz w:val="22"/>
        </w:rPr>
        <w:t>de Direitos Humanos e Cidadania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67" w:lineRule="exact" w:before="3" w:after="0"/>
        <w:ind w:left="742" w:right="0" w:hanging="358"/>
        <w:jc w:val="left"/>
        <w:rPr>
          <w:sz w:val="22"/>
        </w:rPr>
      </w:pPr>
      <w:r>
        <w:rPr>
          <w:sz w:val="22"/>
        </w:rPr>
        <w:t>Edsom</w:t>
      </w:r>
      <w:r>
        <w:rPr>
          <w:spacing w:val="-4"/>
          <w:sz w:val="22"/>
        </w:rPr>
        <w:t> </w:t>
      </w:r>
      <w:r>
        <w:rPr>
          <w:sz w:val="22"/>
        </w:rPr>
        <w:t>Ortega -</w:t>
      </w:r>
      <w:r>
        <w:rPr>
          <w:spacing w:val="1"/>
          <w:sz w:val="22"/>
        </w:rPr>
        <w:t> </w:t>
      </w:r>
      <w:r>
        <w:rPr>
          <w:sz w:val="22"/>
        </w:rPr>
        <w:t>Secretário</w:t>
      </w:r>
      <w:r>
        <w:rPr>
          <w:spacing w:val="-2"/>
          <w:sz w:val="22"/>
        </w:rPr>
        <w:t> </w:t>
      </w:r>
      <w:r>
        <w:rPr>
          <w:sz w:val="22"/>
        </w:rPr>
        <w:t>Executivo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Projetos</w:t>
      </w:r>
      <w:r>
        <w:rPr>
          <w:spacing w:val="-2"/>
          <w:sz w:val="22"/>
        </w:rPr>
        <w:t> Estratégicos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67" w:lineRule="exact" w:before="0" w:after="0"/>
        <w:ind w:left="742" w:right="0" w:hanging="358"/>
        <w:jc w:val="left"/>
        <w:rPr>
          <w:sz w:val="22"/>
        </w:rPr>
      </w:pP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Gonzaga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Neto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z w:val="22"/>
        </w:rPr>
        <w:t>SGM</w:t>
      </w:r>
      <w:r>
        <w:rPr>
          <w:spacing w:val="-1"/>
          <w:sz w:val="22"/>
        </w:rPr>
        <w:t> </w:t>
      </w:r>
      <w:r>
        <w:rPr>
          <w:sz w:val="22"/>
        </w:rPr>
        <w:t>(Secretaria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Projetos</w:t>
      </w:r>
      <w:r>
        <w:rPr>
          <w:spacing w:val="-2"/>
          <w:sz w:val="22"/>
        </w:rPr>
        <w:t> Estratégicos)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  <w:tab w:pos="744" w:val="left" w:leader="none"/>
        </w:tabs>
        <w:spacing w:line="240" w:lineRule="auto" w:before="2" w:after="0"/>
        <w:ind w:left="744" w:right="1444" w:hanging="360"/>
        <w:jc w:val="left"/>
        <w:rPr>
          <w:sz w:val="22"/>
        </w:rPr>
      </w:pPr>
      <w:r>
        <w:rPr>
          <w:sz w:val="22"/>
        </w:rPr>
        <w:t>Maira</w:t>
      </w:r>
      <w:r>
        <w:rPr>
          <w:spacing w:val="80"/>
          <w:w w:val="150"/>
          <w:sz w:val="22"/>
        </w:rPr>
        <w:t> </w:t>
      </w:r>
      <w:r>
        <w:rPr>
          <w:sz w:val="22"/>
        </w:rPr>
        <w:t>Cavalcanti</w:t>
      </w:r>
      <w:r>
        <w:rPr>
          <w:spacing w:val="80"/>
          <w:w w:val="150"/>
          <w:sz w:val="22"/>
        </w:rPr>
        <w:t> </w:t>
      </w:r>
      <w:r>
        <w:rPr>
          <w:sz w:val="22"/>
        </w:rPr>
        <w:t>Rocha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w w:val="150"/>
          <w:sz w:val="22"/>
        </w:rPr>
        <w:t> </w:t>
      </w:r>
      <w:r>
        <w:rPr>
          <w:sz w:val="22"/>
        </w:rPr>
        <w:t>representando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a</w:t>
      </w:r>
      <w:r>
        <w:rPr>
          <w:spacing w:val="80"/>
          <w:w w:val="150"/>
          <w:sz w:val="22"/>
        </w:rPr>
        <w:t> </w:t>
      </w:r>
      <w:r>
        <w:rPr>
          <w:sz w:val="22"/>
        </w:rPr>
        <w:t>Secretaria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Municipal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</w:t>
      </w:r>
      <w:r>
        <w:rPr>
          <w:spacing w:val="80"/>
          <w:w w:val="150"/>
          <w:sz w:val="22"/>
        </w:rPr>
        <w:t> </w:t>
      </w:r>
      <w:r>
        <w:rPr>
          <w:sz w:val="22"/>
        </w:rPr>
        <w:t>Assistência</w:t>
      </w:r>
      <w:r>
        <w:rPr>
          <w:spacing w:val="80"/>
          <w:w w:val="150"/>
          <w:sz w:val="22"/>
        </w:rPr>
        <w:t> </w:t>
      </w:r>
      <w:r>
        <w:rPr>
          <w:sz w:val="22"/>
        </w:rPr>
        <w:t>e Desenvolvimento Social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66" w:lineRule="exact" w:before="0" w:after="0"/>
        <w:ind w:left="742" w:right="0" w:hanging="358"/>
        <w:jc w:val="left"/>
        <w:rPr>
          <w:sz w:val="22"/>
        </w:rPr>
      </w:pPr>
      <w:r>
        <w:rPr>
          <w:sz w:val="22"/>
        </w:rPr>
        <w:t>Vinicius</w:t>
      </w:r>
      <w:r>
        <w:rPr>
          <w:spacing w:val="-11"/>
          <w:sz w:val="22"/>
        </w:rPr>
        <w:t> </w:t>
      </w:r>
      <w:r>
        <w:rPr>
          <w:sz w:val="22"/>
        </w:rPr>
        <w:t>Pedron</w:t>
      </w:r>
      <w:r>
        <w:rPr>
          <w:spacing w:val="-9"/>
          <w:sz w:val="22"/>
        </w:rPr>
        <w:t> </w:t>
      </w:r>
      <w:r>
        <w:rPr>
          <w:sz w:val="22"/>
        </w:rPr>
        <w:t>Macario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Chefe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Assessoria</w:t>
      </w:r>
      <w:r>
        <w:rPr>
          <w:spacing w:val="-9"/>
          <w:sz w:val="22"/>
        </w:rPr>
        <w:t> </w:t>
      </w:r>
      <w:r>
        <w:rPr>
          <w:sz w:val="22"/>
        </w:rPr>
        <w:t>Econômica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Secretaria</w:t>
      </w:r>
      <w:r>
        <w:rPr>
          <w:spacing w:val="-9"/>
          <w:sz w:val="22"/>
        </w:rPr>
        <w:t> </w:t>
      </w:r>
      <w:r>
        <w:rPr>
          <w:sz w:val="22"/>
        </w:rPr>
        <w:t>Municipal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33"/>
          <w:sz w:val="22"/>
        </w:rPr>
        <w:t> </w:t>
      </w:r>
      <w:r>
        <w:rPr>
          <w:spacing w:val="-2"/>
          <w:sz w:val="22"/>
        </w:rPr>
        <w:t>Fazenda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2" w:after="0"/>
        <w:ind w:left="742" w:right="0" w:hanging="358"/>
        <w:jc w:val="left"/>
        <w:rPr>
          <w:sz w:val="22"/>
        </w:rPr>
      </w:pPr>
      <w:r>
        <w:rPr>
          <w:sz w:val="22"/>
        </w:rPr>
        <w:t>Isabela</w:t>
      </w:r>
      <w:r>
        <w:rPr>
          <w:spacing w:val="-6"/>
          <w:sz w:val="22"/>
        </w:rPr>
        <w:t> </w:t>
      </w:r>
      <w:r>
        <w:rPr>
          <w:sz w:val="22"/>
        </w:rPr>
        <w:t>Costa</w:t>
      </w:r>
      <w:r>
        <w:rPr>
          <w:spacing w:val="-3"/>
          <w:sz w:val="22"/>
        </w:rPr>
        <w:t> </w:t>
      </w:r>
      <w:r>
        <w:rPr>
          <w:sz w:val="22"/>
        </w:rPr>
        <w:t>Campos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Assessora</w:t>
      </w:r>
      <w:r>
        <w:rPr>
          <w:spacing w:val="-3"/>
          <w:sz w:val="22"/>
        </w:rPr>
        <w:t> </w:t>
      </w:r>
      <w:r>
        <w:rPr>
          <w:sz w:val="22"/>
        </w:rPr>
        <w:t>na</w:t>
      </w:r>
      <w:r>
        <w:rPr>
          <w:spacing w:val="-4"/>
          <w:sz w:val="22"/>
        </w:rPr>
        <w:t> </w:t>
      </w:r>
      <w:r>
        <w:rPr>
          <w:sz w:val="22"/>
        </w:rPr>
        <w:t>Coordenadoria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Segurança</w:t>
      </w:r>
      <w:r>
        <w:rPr>
          <w:spacing w:val="-3"/>
          <w:sz w:val="22"/>
        </w:rPr>
        <w:t> </w:t>
      </w:r>
      <w:r>
        <w:rPr>
          <w:sz w:val="22"/>
        </w:rPr>
        <w:t>Alimentar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Nutricional</w:t>
      </w:r>
    </w:p>
    <w:p>
      <w:pPr>
        <w:pStyle w:val="ListParagraph"/>
        <w:numPr>
          <w:ilvl w:val="1"/>
          <w:numId w:val="1"/>
        </w:numPr>
        <w:tabs>
          <w:tab w:pos="744" w:val="left" w:leader="none"/>
        </w:tabs>
        <w:spacing w:line="240" w:lineRule="auto" w:before="1" w:after="0"/>
        <w:ind w:left="744" w:right="1445" w:hanging="360"/>
        <w:jc w:val="left"/>
        <w:rPr>
          <w:sz w:val="22"/>
        </w:rPr>
      </w:pPr>
      <w:r>
        <w:rPr>
          <w:sz w:val="22"/>
        </w:rPr>
        <w:t>Jordana</w:t>
      </w:r>
      <w:r>
        <w:rPr>
          <w:spacing w:val="25"/>
          <w:sz w:val="22"/>
        </w:rPr>
        <w:t> </w:t>
      </w:r>
      <w:r>
        <w:rPr>
          <w:sz w:val="22"/>
        </w:rPr>
        <w:t>Soares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6"/>
          <w:sz w:val="22"/>
        </w:rPr>
        <w:t> </w:t>
      </w:r>
      <w:r>
        <w:rPr>
          <w:sz w:val="22"/>
        </w:rPr>
        <w:t>Araujo –</w:t>
      </w:r>
      <w:r>
        <w:rPr>
          <w:spacing w:val="26"/>
          <w:sz w:val="22"/>
        </w:rPr>
        <w:t> </w:t>
      </w:r>
      <w:r>
        <w:rPr>
          <w:sz w:val="22"/>
        </w:rPr>
        <w:t>Residente em Gestão</w:t>
      </w:r>
      <w:r>
        <w:rPr>
          <w:spacing w:val="24"/>
          <w:sz w:val="22"/>
        </w:rPr>
        <w:t> </w:t>
      </w:r>
      <w:r>
        <w:rPr>
          <w:sz w:val="22"/>
        </w:rPr>
        <w:t>Pública na Coordenadoria de</w:t>
      </w:r>
      <w:r>
        <w:rPr>
          <w:spacing w:val="26"/>
          <w:sz w:val="22"/>
        </w:rPr>
        <w:t> </w:t>
      </w:r>
      <w:r>
        <w:rPr>
          <w:sz w:val="22"/>
        </w:rPr>
        <w:t>Segurança Alimentar e Nutricional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314" w:val="left" w:leader="none"/>
        </w:tabs>
        <w:spacing w:line="240" w:lineRule="auto" w:before="0" w:after="0"/>
        <w:ind w:left="314" w:right="0" w:hanging="291"/>
        <w:jc w:val="both"/>
      </w:pPr>
      <w:r>
        <w:rPr/>
        <w:t>Execução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2025 -</w:t>
      </w:r>
      <w:r>
        <w:rPr>
          <w:spacing w:val="-1"/>
        </w:rPr>
        <w:t> </w:t>
      </w:r>
      <w:r>
        <w:rPr/>
        <w:t>1º</w:t>
      </w:r>
      <w:r>
        <w:rPr>
          <w:spacing w:val="-3"/>
        </w:rPr>
        <w:t> </w:t>
      </w:r>
      <w:r>
        <w:rPr>
          <w:spacing w:val="-2"/>
        </w:rPr>
        <w:t>quadrimestre</w:t>
      </w:r>
    </w:p>
    <w:p>
      <w:pPr>
        <w:spacing w:before="1"/>
        <w:ind w:left="23" w:right="0" w:firstLine="0"/>
        <w:jc w:val="both"/>
        <w:rPr>
          <w:i/>
          <w:sz w:val="22"/>
        </w:rPr>
      </w:pPr>
      <w:r>
        <w:rPr>
          <w:i/>
          <w:sz w:val="22"/>
        </w:rPr>
        <w:t>Dados de</w:t>
      </w:r>
      <w:r>
        <w:rPr>
          <w:i/>
          <w:spacing w:val="2"/>
          <w:sz w:val="22"/>
        </w:rPr>
        <w:t> </w:t>
      </w:r>
      <w:r>
        <w:rPr>
          <w:i/>
          <w:spacing w:val="-2"/>
          <w:sz w:val="22"/>
        </w:rPr>
        <w:t>15/05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3"/>
        <w:rPr>
          <w:i/>
          <w:sz w:val="20"/>
        </w:rPr>
      </w:pPr>
    </w:p>
    <w:tbl>
      <w:tblPr>
        <w:tblW w:w="0" w:type="auto"/>
        <w:jc w:val="left"/>
        <w:tblCellSpacing w:w="10" w:type="dxa"/>
        <w:tblInd w:w="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2"/>
        <w:gridCol w:w="2596"/>
        <w:gridCol w:w="2626"/>
      </w:tblGrid>
      <w:tr>
        <w:trPr>
          <w:trHeight w:val="1220" w:hRule="atLeast"/>
        </w:trPr>
        <w:tc>
          <w:tcPr>
            <w:tcW w:w="4002" w:type="dxa"/>
            <w:tcBorders>
              <w:top w:val="nil"/>
              <w:left w:val="nil"/>
            </w:tcBorders>
            <w:shd w:val="clear" w:color="auto" w:fill="666666"/>
          </w:tcPr>
          <w:p>
            <w:pPr>
              <w:pStyle w:val="TableParagraph"/>
              <w:spacing w:before="207"/>
              <w:rPr>
                <w:i/>
                <w:sz w:val="22"/>
              </w:rPr>
            </w:pPr>
          </w:p>
          <w:p>
            <w:pPr>
              <w:pStyle w:val="TableParagraph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Etapa</w:t>
            </w:r>
          </w:p>
        </w:tc>
        <w:tc>
          <w:tcPr>
            <w:tcW w:w="2576" w:type="dxa"/>
            <w:tcBorders>
              <w:top w:val="nil"/>
            </w:tcBorders>
            <w:shd w:val="clear" w:color="auto" w:fill="666666"/>
          </w:tcPr>
          <w:p>
            <w:pPr>
              <w:pStyle w:val="TableParagraph"/>
              <w:spacing w:before="207"/>
              <w:rPr>
                <w:i/>
                <w:sz w:val="22"/>
              </w:rPr>
            </w:pPr>
          </w:p>
          <w:p>
            <w:pPr>
              <w:pStyle w:val="TableParagraph"/>
              <w:ind w:left="830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(R$)</w:t>
            </w:r>
          </w:p>
        </w:tc>
        <w:tc>
          <w:tcPr>
            <w:tcW w:w="2616" w:type="dxa"/>
            <w:tcBorders>
              <w:top w:val="nil"/>
              <w:right w:val="nil"/>
            </w:tcBorders>
            <w:shd w:val="clear" w:color="auto" w:fill="666666"/>
          </w:tcPr>
          <w:p>
            <w:pPr>
              <w:pStyle w:val="TableParagraph"/>
              <w:spacing w:before="71"/>
              <w:rPr>
                <w:i/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649" w:hanging="265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relação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ao atualizado (%)</w:t>
            </w:r>
          </w:p>
        </w:tc>
      </w:tr>
      <w:tr>
        <w:trPr>
          <w:trHeight w:val="840" w:hRule="atLeast"/>
        </w:trPr>
        <w:tc>
          <w:tcPr>
            <w:tcW w:w="4002" w:type="dxa"/>
            <w:tcBorders>
              <w:left w:val="nil"/>
            </w:tcBorders>
            <w:shd w:val="clear" w:color="auto" w:fill="B7B7B7"/>
          </w:tcPr>
          <w:p>
            <w:pPr>
              <w:pStyle w:val="TableParagraph"/>
              <w:spacing w:before="100"/>
              <w:ind w:right="8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Orçamento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inicial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(LOA)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:</w:t>
            </w:r>
          </w:p>
        </w:tc>
        <w:tc>
          <w:tcPr>
            <w:tcW w:w="2576" w:type="dxa"/>
            <w:shd w:val="clear" w:color="auto" w:fill="B7B7B7"/>
          </w:tcPr>
          <w:p>
            <w:pPr>
              <w:pStyle w:val="TableParagraph"/>
              <w:spacing w:before="100"/>
              <w:ind w:left="109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319.840.175,00</w:t>
            </w:r>
          </w:p>
        </w:tc>
        <w:tc>
          <w:tcPr>
            <w:tcW w:w="2616" w:type="dxa"/>
            <w:tcBorders>
              <w:right w:val="nil"/>
            </w:tcBorders>
            <w:shd w:val="clear" w:color="auto" w:fill="B7B7B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4002" w:type="dxa"/>
            <w:tcBorders>
              <w:left w:val="nil"/>
              <w:bottom w:val="nil"/>
            </w:tcBorders>
            <w:shd w:val="clear" w:color="auto" w:fill="D9D9D9"/>
          </w:tcPr>
          <w:p>
            <w:pPr>
              <w:pStyle w:val="TableParagraph"/>
              <w:spacing w:before="101"/>
              <w:ind w:right="91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Valores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congelados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abril/25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2576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101"/>
              <w:ind w:left="109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26.152.308,35</w:t>
            </w:r>
          </w:p>
        </w:tc>
        <w:tc>
          <w:tcPr>
            <w:tcW w:w="2616" w:type="dxa"/>
            <w:tcBorders>
              <w:bottom w:val="nil"/>
              <w:right w:val="nil"/>
            </w:tcBorders>
            <w:shd w:val="clear" w:color="auto" w:fill="D9D9D9"/>
          </w:tcPr>
          <w:p>
            <w:pPr>
              <w:pStyle w:val="TableParagraph"/>
              <w:spacing w:before="202"/>
              <w:rPr>
                <w:i/>
                <w:sz w:val="22"/>
              </w:rPr>
            </w:pPr>
          </w:p>
          <w:p>
            <w:pPr>
              <w:pStyle w:val="TableParagraph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b/>
          <w:sz w:val="22"/>
        </w:rPr>
        <w:sectPr>
          <w:type w:val="continuous"/>
          <w:pgSz w:w="11910" w:h="16840"/>
          <w:pgMar w:top="1340" w:bottom="280" w:left="1417" w:right="0"/>
        </w:sectPr>
      </w:pPr>
    </w:p>
    <w:p>
      <w:pPr>
        <w:pStyle w:val="BodyText"/>
        <w:spacing w:before="1"/>
        <w:rPr>
          <w:i/>
          <w:sz w:val="2"/>
        </w:rPr>
      </w:pPr>
    </w:p>
    <w:tbl>
      <w:tblPr>
        <w:tblW w:w="0" w:type="auto"/>
        <w:jc w:val="left"/>
        <w:tblInd w:w="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12"/>
        <w:gridCol w:w="2591"/>
        <w:gridCol w:w="2631"/>
      </w:tblGrid>
      <w:tr>
        <w:trPr>
          <w:trHeight w:val="840" w:hRule="atLeast"/>
        </w:trPr>
        <w:tc>
          <w:tcPr>
            <w:tcW w:w="4012" w:type="dxa"/>
            <w:tcBorders>
              <w:top w:val="nil"/>
              <w:left w:val="nil"/>
              <w:bottom w:val="nil"/>
            </w:tcBorders>
            <w:shd w:val="clear" w:color="auto" w:fill="B7B7B7"/>
          </w:tcPr>
          <w:p>
            <w:pPr>
              <w:pStyle w:val="TableParagraph"/>
              <w:spacing w:before="100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Suplementações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+</w:t>
            </w:r>
          </w:p>
        </w:tc>
        <w:tc>
          <w:tcPr>
            <w:tcW w:w="2591" w:type="dxa"/>
            <w:tcBorders>
              <w:top w:val="nil"/>
              <w:bottom w:val="nil"/>
              <w:right w:val="single" w:sz="4" w:space="0" w:color="FFFFFF"/>
            </w:tcBorders>
            <w:shd w:val="clear" w:color="auto" w:fill="B7B7B7"/>
          </w:tcPr>
          <w:p>
            <w:pPr>
              <w:pStyle w:val="TableParagraph"/>
              <w:spacing w:before="100"/>
              <w:ind w:right="85"/>
              <w:jc w:val="right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  <w:tc>
          <w:tcPr>
            <w:tcW w:w="263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B7B7B7"/>
          </w:tcPr>
          <w:p>
            <w:pPr>
              <w:pStyle w:val="TableParagraph"/>
              <w:spacing w:before="201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6" w:right="4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-</w:t>
            </w:r>
          </w:p>
        </w:tc>
      </w:tr>
      <w:tr>
        <w:trPr>
          <w:trHeight w:val="580" w:hRule="atLeast"/>
        </w:trPr>
        <w:tc>
          <w:tcPr>
            <w:tcW w:w="401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91" w:type="dxa"/>
            <w:tcBorders>
              <w:top w:val="nil"/>
              <w:bottom w:val="nil"/>
              <w:right w:val="single" w:sz="4" w:space="0" w:color="FFFFFF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31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39" w:hRule="atLeast"/>
        </w:trPr>
        <w:tc>
          <w:tcPr>
            <w:tcW w:w="4012" w:type="dxa"/>
            <w:tcBorders>
              <w:top w:val="nil"/>
              <w:left w:val="nil"/>
            </w:tcBorders>
            <w:shd w:val="clear" w:color="auto" w:fill="999999"/>
          </w:tcPr>
          <w:p>
            <w:pPr>
              <w:pStyle w:val="TableParagraph"/>
              <w:spacing w:before="100"/>
              <w:ind w:right="8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Orçamento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atualizado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líquido:</w:t>
            </w:r>
          </w:p>
        </w:tc>
        <w:tc>
          <w:tcPr>
            <w:tcW w:w="2591" w:type="dxa"/>
            <w:tcBorders>
              <w:top w:val="nil"/>
              <w:right w:val="single" w:sz="4" w:space="0" w:color="FFFFFF"/>
            </w:tcBorders>
            <w:shd w:val="clear" w:color="auto" w:fill="999999"/>
          </w:tcPr>
          <w:p>
            <w:pPr>
              <w:pStyle w:val="TableParagraph"/>
              <w:spacing w:before="100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293.687.866,65</w:t>
            </w:r>
          </w:p>
        </w:tc>
        <w:tc>
          <w:tcPr>
            <w:tcW w:w="2631" w:type="dxa"/>
            <w:tcBorders>
              <w:top w:val="nil"/>
              <w:left w:val="single" w:sz="4" w:space="0" w:color="FFFFFF"/>
              <w:right w:val="nil"/>
            </w:tcBorders>
            <w:shd w:val="clear" w:color="auto" w:fill="999999"/>
          </w:tcPr>
          <w:p>
            <w:pPr>
              <w:pStyle w:val="TableParagraph"/>
              <w:spacing w:before="201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2" w:right="6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100%</w:t>
            </w:r>
          </w:p>
        </w:tc>
      </w:tr>
      <w:tr>
        <w:trPr>
          <w:trHeight w:val="840" w:hRule="atLeast"/>
        </w:trPr>
        <w:tc>
          <w:tcPr>
            <w:tcW w:w="4012" w:type="dxa"/>
            <w:tcBorders>
              <w:left w:val="nil"/>
            </w:tcBorders>
            <w:shd w:val="clear" w:color="auto" w:fill="B7B7B7"/>
          </w:tcPr>
          <w:p>
            <w:pPr>
              <w:pStyle w:val="TableParagraph"/>
              <w:spacing w:before="100"/>
              <w:ind w:right="8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Reservado:</w:t>
            </w:r>
          </w:p>
        </w:tc>
        <w:tc>
          <w:tcPr>
            <w:tcW w:w="2591" w:type="dxa"/>
            <w:tcBorders>
              <w:right w:val="single" w:sz="4" w:space="0" w:color="FFFFFF"/>
            </w:tcBorders>
            <w:shd w:val="clear" w:color="auto" w:fill="B7B7B7"/>
          </w:tcPr>
          <w:p>
            <w:pPr>
              <w:pStyle w:val="TableParagraph"/>
              <w:spacing w:before="100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281.107.166,45</w:t>
            </w:r>
          </w:p>
        </w:tc>
        <w:tc>
          <w:tcPr>
            <w:tcW w:w="2631" w:type="dxa"/>
            <w:tcBorders>
              <w:left w:val="single" w:sz="4" w:space="0" w:color="FFFFFF"/>
              <w:right w:val="nil"/>
            </w:tcBorders>
            <w:shd w:val="clear" w:color="auto" w:fill="B7B7B7"/>
          </w:tcPr>
          <w:p>
            <w:pPr>
              <w:pStyle w:val="TableParagraph"/>
              <w:spacing w:before="202"/>
              <w:rPr>
                <w:i/>
                <w:sz w:val="22"/>
              </w:rPr>
            </w:pPr>
          </w:p>
          <w:p>
            <w:pPr>
              <w:pStyle w:val="TableParagraph"/>
              <w:ind w:left="98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95,72%</w:t>
            </w:r>
          </w:p>
        </w:tc>
      </w:tr>
      <w:tr>
        <w:trPr>
          <w:trHeight w:val="840" w:hRule="atLeast"/>
        </w:trPr>
        <w:tc>
          <w:tcPr>
            <w:tcW w:w="4012" w:type="dxa"/>
            <w:tcBorders>
              <w:left w:val="nil"/>
            </w:tcBorders>
            <w:shd w:val="clear" w:color="auto" w:fill="B7B7B7"/>
          </w:tcPr>
          <w:p>
            <w:pPr>
              <w:pStyle w:val="TableParagraph"/>
              <w:spacing w:before="100"/>
              <w:ind w:right="8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Empenhado:</w:t>
            </w:r>
          </w:p>
        </w:tc>
        <w:tc>
          <w:tcPr>
            <w:tcW w:w="2591" w:type="dxa"/>
            <w:tcBorders>
              <w:right w:val="single" w:sz="4" w:space="0" w:color="FFFFFF"/>
            </w:tcBorders>
            <w:shd w:val="clear" w:color="auto" w:fill="B7B7B7"/>
          </w:tcPr>
          <w:p>
            <w:pPr>
              <w:pStyle w:val="TableParagraph"/>
              <w:spacing w:before="100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244.941.842,98</w:t>
            </w:r>
          </w:p>
        </w:tc>
        <w:tc>
          <w:tcPr>
            <w:tcW w:w="2631" w:type="dxa"/>
            <w:tcBorders>
              <w:left w:val="single" w:sz="4" w:space="0" w:color="FFFFFF"/>
              <w:right w:val="nil"/>
            </w:tcBorders>
            <w:shd w:val="clear" w:color="auto" w:fill="B7B7B7"/>
          </w:tcPr>
          <w:p>
            <w:pPr>
              <w:pStyle w:val="TableParagraph"/>
              <w:spacing w:before="202"/>
              <w:rPr>
                <w:i/>
                <w:sz w:val="22"/>
              </w:rPr>
            </w:pPr>
          </w:p>
          <w:p>
            <w:pPr>
              <w:pStyle w:val="TableParagraph"/>
              <w:ind w:left="98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83,40%</w:t>
            </w:r>
          </w:p>
        </w:tc>
      </w:tr>
      <w:tr>
        <w:trPr>
          <w:trHeight w:val="740" w:hRule="atLeast"/>
        </w:trPr>
        <w:tc>
          <w:tcPr>
            <w:tcW w:w="4012" w:type="dxa"/>
            <w:tcBorders>
              <w:left w:val="nil"/>
              <w:bottom w:val="nil"/>
            </w:tcBorders>
            <w:shd w:val="clear" w:color="auto" w:fill="B7B7B7"/>
          </w:tcPr>
          <w:p>
            <w:pPr>
              <w:pStyle w:val="TableParagraph"/>
              <w:spacing w:before="100"/>
              <w:ind w:right="84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Liquidado:</w:t>
            </w:r>
          </w:p>
        </w:tc>
        <w:tc>
          <w:tcPr>
            <w:tcW w:w="2591" w:type="dxa"/>
            <w:tcBorders>
              <w:bottom w:val="nil"/>
              <w:right w:val="single" w:sz="4" w:space="0" w:color="FFFFFF"/>
            </w:tcBorders>
            <w:shd w:val="clear" w:color="auto" w:fill="B7B7B7"/>
          </w:tcPr>
          <w:p>
            <w:pPr>
              <w:pStyle w:val="TableParagraph"/>
              <w:spacing w:before="100"/>
              <w:ind w:right="9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107.749.034,71</w:t>
            </w:r>
          </w:p>
        </w:tc>
        <w:tc>
          <w:tcPr>
            <w:tcW w:w="2631" w:type="dxa"/>
            <w:tcBorders>
              <w:left w:val="single" w:sz="4" w:space="0" w:color="FFFFFF"/>
              <w:bottom w:val="nil"/>
              <w:right w:val="nil"/>
            </w:tcBorders>
            <w:shd w:val="clear" w:color="auto" w:fill="B7B7B7"/>
          </w:tcPr>
          <w:p>
            <w:pPr>
              <w:pStyle w:val="TableParagraph"/>
              <w:spacing w:before="102"/>
              <w:rPr>
                <w:i/>
                <w:sz w:val="22"/>
              </w:rPr>
            </w:pPr>
          </w:p>
          <w:p>
            <w:pPr>
              <w:pStyle w:val="TableParagraph"/>
              <w:ind w:left="16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36,69%</w:t>
            </w: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90" w:after="1"/>
        <w:rPr>
          <w:i/>
          <w:sz w:val="20"/>
        </w:rPr>
      </w:pPr>
    </w:p>
    <w:tbl>
      <w:tblPr>
        <w:tblW w:w="0" w:type="auto"/>
        <w:jc w:val="left"/>
        <w:tblInd w:w="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3511"/>
        <w:gridCol w:w="2071"/>
        <w:gridCol w:w="2071"/>
      </w:tblGrid>
      <w:tr>
        <w:trPr>
          <w:trHeight w:val="1140" w:hRule="atLeast"/>
        </w:trPr>
        <w:tc>
          <w:tcPr>
            <w:tcW w:w="2251" w:type="dxa"/>
            <w:tcBorders>
              <w:top w:val="nil"/>
              <w:left w:val="nil"/>
            </w:tcBorders>
            <w:shd w:val="clear" w:color="auto" w:fill="999999"/>
          </w:tcPr>
          <w:p>
            <w:pPr>
              <w:pStyle w:val="TableParagraph"/>
              <w:spacing w:before="167"/>
              <w:rPr>
                <w:i/>
                <w:sz w:val="22"/>
              </w:rPr>
            </w:pPr>
          </w:p>
          <w:p>
            <w:pPr>
              <w:pStyle w:val="TableParagraph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Programa</w:t>
            </w:r>
          </w:p>
        </w:tc>
        <w:tc>
          <w:tcPr>
            <w:tcW w:w="3511" w:type="dxa"/>
            <w:tcBorders>
              <w:top w:val="nil"/>
            </w:tcBorders>
            <w:shd w:val="clear" w:color="auto" w:fill="999999"/>
          </w:tcPr>
          <w:p>
            <w:pPr>
              <w:pStyle w:val="TableParagraph"/>
              <w:spacing w:before="167"/>
              <w:rPr>
                <w:i/>
                <w:sz w:val="22"/>
              </w:rPr>
            </w:pPr>
          </w:p>
          <w:p>
            <w:pPr>
              <w:pStyle w:val="TableParagraph"/>
              <w:ind w:left="7" w:righ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Estimativa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2071" w:type="dxa"/>
            <w:tcBorders>
              <w:top w:val="nil"/>
            </w:tcBorders>
            <w:shd w:val="clear" w:color="auto" w:fill="999999"/>
          </w:tcPr>
          <w:p>
            <w:pPr>
              <w:pStyle w:val="TableParagraph"/>
              <w:spacing w:before="171"/>
              <w:ind w:left="57" w:right="5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Necessidade Contratos Atuais/2024</w:t>
            </w:r>
          </w:p>
        </w:tc>
        <w:tc>
          <w:tcPr>
            <w:tcW w:w="2071" w:type="dxa"/>
            <w:tcBorders>
              <w:top w:val="nil"/>
              <w:right w:val="nil"/>
            </w:tcBorders>
            <w:shd w:val="clear" w:color="auto" w:fill="999999"/>
          </w:tcPr>
          <w:p>
            <w:pPr>
              <w:pStyle w:val="TableParagraph"/>
              <w:spacing w:before="32"/>
              <w:rPr>
                <w:i/>
                <w:sz w:val="22"/>
              </w:rPr>
            </w:pPr>
          </w:p>
          <w:p>
            <w:pPr>
              <w:pStyle w:val="TableParagraph"/>
              <w:ind w:left="525" w:hanging="180"/>
              <w:rPr>
                <w:b/>
                <w:sz w:val="22"/>
              </w:rPr>
            </w:pPr>
            <w:r>
              <w:rPr>
                <w:b/>
                <w:sz w:val="22"/>
              </w:rPr>
              <w:t>Envio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PMSP para CMSP</w:t>
            </w:r>
          </w:p>
        </w:tc>
      </w:tr>
      <w:tr>
        <w:trPr>
          <w:trHeight w:val="980" w:hRule="atLeast"/>
        </w:trPr>
        <w:tc>
          <w:tcPr>
            <w:tcW w:w="2251" w:type="dxa"/>
            <w:tcBorders>
              <w:left w:val="nil"/>
            </w:tcBorders>
            <w:shd w:val="clear" w:color="auto" w:fill="B7B7B7"/>
          </w:tcPr>
          <w:p>
            <w:pPr>
              <w:pStyle w:val="TableParagraph"/>
              <w:spacing w:before="86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Banco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Alimentos</w:t>
            </w:r>
          </w:p>
        </w:tc>
        <w:tc>
          <w:tcPr>
            <w:tcW w:w="3511" w:type="dxa"/>
            <w:shd w:val="clear" w:color="auto" w:fill="B7B7B7"/>
          </w:tcPr>
          <w:p>
            <w:pPr>
              <w:pStyle w:val="TableParagraph"/>
              <w:spacing w:before="86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-2"/>
                <w:sz w:val="22"/>
              </w:rPr>
              <w:t> 8.100.000,00</w:t>
            </w:r>
          </w:p>
        </w:tc>
        <w:tc>
          <w:tcPr>
            <w:tcW w:w="2071" w:type="dxa"/>
            <w:shd w:val="clear" w:color="auto" w:fill="B7B7B7"/>
          </w:tcPr>
          <w:p>
            <w:pPr>
              <w:pStyle w:val="TableParagraph"/>
              <w:spacing w:before="86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57" w:right="58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2071" w:type="dxa"/>
            <w:tcBorders>
              <w:right w:val="nil"/>
            </w:tcBorders>
            <w:shd w:val="clear" w:color="auto" w:fill="B7B7B7"/>
          </w:tcPr>
          <w:p>
            <w:pPr>
              <w:pStyle w:val="TableParagraph"/>
              <w:spacing w:before="86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8" w:right="1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</w:tr>
      <w:tr>
        <w:trPr>
          <w:trHeight w:val="1505" w:hRule="atLeast"/>
        </w:trPr>
        <w:tc>
          <w:tcPr>
            <w:tcW w:w="2251" w:type="dxa"/>
            <w:tcBorders>
              <w:left w:val="nil"/>
            </w:tcBorders>
            <w:shd w:val="clear" w:color="auto" w:fill="B7B7B7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78"/>
              <w:rPr>
                <w:i/>
                <w:sz w:val="22"/>
              </w:rPr>
            </w:pPr>
          </w:p>
          <w:p>
            <w:pPr>
              <w:pStyle w:val="TableParagraph"/>
              <w:ind w:left="12" w:right="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Armazém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Solidário</w:t>
            </w:r>
          </w:p>
        </w:tc>
        <w:tc>
          <w:tcPr>
            <w:tcW w:w="3511" w:type="dxa"/>
            <w:shd w:val="clear" w:color="auto" w:fill="B7B7B7"/>
          </w:tcPr>
          <w:p>
            <w:pPr>
              <w:pStyle w:val="TableParagraph"/>
              <w:spacing w:before="80"/>
              <w:ind w:left="7" w:right="7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unidades: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R$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28.383.471,96</w:t>
            </w:r>
          </w:p>
          <w:p>
            <w:pPr>
              <w:pStyle w:val="TableParagraph"/>
              <w:spacing w:line="267" w:lineRule="exact" w:before="2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Reformas: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R$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7.928.841,11</w:t>
            </w:r>
          </w:p>
          <w:p>
            <w:pPr>
              <w:pStyle w:val="TableParagraph"/>
              <w:ind w:left="822" w:right="821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novas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unidades: R$ 5.302.575,04</w:t>
            </w:r>
          </w:p>
          <w:p>
            <w:pPr>
              <w:pStyle w:val="TableParagraph"/>
              <w:spacing w:before="1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-2"/>
                <w:sz w:val="22"/>
              </w:rPr>
              <w:t> 41.614.888,11</w:t>
            </w:r>
          </w:p>
        </w:tc>
        <w:tc>
          <w:tcPr>
            <w:tcW w:w="2071" w:type="dxa"/>
            <w:shd w:val="clear" w:color="auto" w:fill="B7B7B7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78"/>
              <w:rPr>
                <w:i/>
                <w:sz w:val="22"/>
              </w:rPr>
            </w:pPr>
          </w:p>
          <w:p>
            <w:pPr>
              <w:pStyle w:val="TableParagraph"/>
              <w:ind w:left="57" w:right="58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2"/>
                <w:sz w:val="22"/>
              </w:rPr>
              <w:t> 37.119.025,25</w:t>
            </w:r>
          </w:p>
        </w:tc>
        <w:tc>
          <w:tcPr>
            <w:tcW w:w="2071" w:type="dxa"/>
            <w:tcBorders>
              <w:right w:val="nil"/>
            </w:tcBorders>
            <w:shd w:val="clear" w:color="auto" w:fill="B7B7B7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78"/>
              <w:rPr>
                <w:i/>
                <w:sz w:val="22"/>
              </w:rPr>
            </w:pPr>
          </w:p>
          <w:p>
            <w:pPr>
              <w:pStyle w:val="TableParagraph"/>
              <w:ind w:left="6" w:right="17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2"/>
                <w:sz w:val="22"/>
              </w:rPr>
              <w:t> 18.502.000,00</w:t>
            </w:r>
          </w:p>
        </w:tc>
      </w:tr>
      <w:tr>
        <w:trPr>
          <w:trHeight w:val="919" w:hRule="atLeast"/>
        </w:trPr>
        <w:tc>
          <w:tcPr>
            <w:tcW w:w="2251" w:type="dxa"/>
            <w:tcBorders>
              <w:left w:val="nil"/>
            </w:tcBorders>
            <w:shd w:val="clear" w:color="auto" w:fill="B7B7B7"/>
          </w:tcPr>
          <w:p>
            <w:pPr>
              <w:pStyle w:val="TableParagraph"/>
              <w:spacing w:before="190"/>
              <w:ind w:left="645" w:right="630" w:hanging="10"/>
              <w:rPr>
                <w:b/>
                <w:sz w:val="22"/>
              </w:rPr>
            </w:pPr>
            <w:r>
              <w:rPr>
                <w:b/>
                <w:sz w:val="22"/>
              </w:rPr>
              <w:t>Bom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Prato </w:t>
            </w:r>
            <w:r>
              <w:rPr>
                <w:b/>
                <w:spacing w:val="-2"/>
                <w:sz w:val="22"/>
              </w:rPr>
              <w:t>Paulistano</w:t>
            </w:r>
          </w:p>
        </w:tc>
        <w:tc>
          <w:tcPr>
            <w:tcW w:w="3511" w:type="dxa"/>
            <w:shd w:val="clear" w:color="auto" w:fill="B7B7B7"/>
          </w:tcPr>
          <w:p>
            <w:pPr>
              <w:pStyle w:val="TableParagraph"/>
              <w:spacing w:before="56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right="7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unidades: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R$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5.502.500,00</w:t>
            </w:r>
          </w:p>
        </w:tc>
        <w:tc>
          <w:tcPr>
            <w:tcW w:w="2071" w:type="dxa"/>
            <w:shd w:val="clear" w:color="auto" w:fill="B7B7B7"/>
          </w:tcPr>
          <w:p>
            <w:pPr>
              <w:pStyle w:val="TableParagraph"/>
              <w:spacing w:before="56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57" w:right="58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2"/>
                <w:sz w:val="22"/>
              </w:rPr>
              <w:t> 5.000.000,00</w:t>
            </w:r>
          </w:p>
        </w:tc>
        <w:tc>
          <w:tcPr>
            <w:tcW w:w="2071" w:type="dxa"/>
            <w:tcBorders>
              <w:right w:val="nil"/>
            </w:tcBorders>
            <w:shd w:val="clear" w:color="auto" w:fill="B7B7B7"/>
          </w:tcPr>
          <w:p>
            <w:pPr>
              <w:pStyle w:val="TableParagraph"/>
              <w:spacing w:before="56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6" w:right="17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2"/>
                <w:sz w:val="22"/>
              </w:rPr>
              <w:t> 5.000.000,00</w:t>
            </w:r>
          </w:p>
        </w:tc>
      </w:tr>
      <w:tr>
        <w:trPr>
          <w:trHeight w:val="1500" w:hRule="atLeast"/>
        </w:trPr>
        <w:tc>
          <w:tcPr>
            <w:tcW w:w="2251" w:type="dxa"/>
            <w:tcBorders>
              <w:left w:val="nil"/>
            </w:tcBorders>
            <w:shd w:val="clear" w:color="auto" w:fill="B7B7B7"/>
          </w:tcPr>
          <w:p>
            <w:pPr>
              <w:pStyle w:val="TableParagraph"/>
              <w:spacing w:before="212"/>
              <w:rPr>
                <w:i/>
                <w:sz w:val="22"/>
              </w:rPr>
            </w:pPr>
          </w:p>
          <w:p>
            <w:pPr>
              <w:pStyle w:val="TableParagraph"/>
              <w:ind w:left="950" w:hanging="811"/>
              <w:rPr>
                <w:b/>
                <w:sz w:val="22"/>
              </w:rPr>
            </w:pPr>
            <w:r>
              <w:rPr>
                <w:b/>
                <w:sz w:val="22"/>
              </w:rPr>
              <w:t>Rede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Cozinha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Escola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- </w:t>
            </w:r>
            <w:r>
              <w:rPr>
                <w:b/>
                <w:spacing w:val="-4"/>
                <w:sz w:val="22"/>
              </w:rPr>
              <w:t>RCE</w:t>
            </w:r>
          </w:p>
        </w:tc>
        <w:tc>
          <w:tcPr>
            <w:tcW w:w="3511" w:type="dxa"/>
            <w:shd w:val="clear" w:color="auto" w:fill="B7B7B7"/>
          </w:tcPr>
          <w:p>
            <w:pPr>
              <w:pStyle w:val="TableParagraph"/>
              <w:spacing w:line="237" w:lineRule="auto" w:before="83"/>
              <w:ind w:left="817" w:right="821"/>
              <w:jc w:val="center"/>
              <w:rPr>
                <w:sz w:val="22"/>
              </w:rPr>
            </w:pPr>
            <w:r>
              <w:rPr>
                <w:sz w:val="22"/>
              </w:rPr>
              <w:t>Parcerias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vigentes: R$</w:t>
            </w:r>
            <w:r>
              <w:rPr>
                <w:spacing w:val="-2"/>
                <w:sz w:val="22"/>
              </w:rPr>
              <w:t> 179.342.614,88</w:t>
            </w:r>
          </w:p>
          <w:p>
            <w:pPr>
              <w:pStyle w:val="TableParagraph"/>
              <w:spacing w:before="1"/>
              <w:ind w:left="607" w:right="612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unidades/6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meses: R$ 40.941.549,30</w:t>
            </w:r>
          </w:p>
          <w:p>
            <w:pPr>
              <w:pStyle w:val="TableParagraph"/>
              <w:spacing w:line="266" w:lineRule="exact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-2"/>
                <w:sz w:val="22"/>
              </w:rPr>
              <w:t> 220.284.164,18</w:t>
            </w:r>
          </w:p>
        </w:tc>
        <w:tc>
          <w:tcPr>
            <w:tcW w:w="2071" w:type="dxa"/>
            <w:shd w:val="clear" w:color="auto" w:fill="B7B7B7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79"/>
              <w:rPr>
                <w:i/>
                <w:sz w:val="22"/>
              </w:rPr>
            </w:pPr>
          </w:p>
          <w:p>
            <w:pPr>
              <w:pStyle w:val="TableParagraph"/>
              <w:ind w:left="57" w:right="63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2"/>
                <w:sz w:val="22"/>
              </w:rPr>
              <w:t> 180.775.592,97</w:t>
            </w:r>
          </w:p>
        </w:tc>
        <w:tc>
          <w:tcPr>
            <w:tcW w:w="2071" w:type="dxa"/>
            <w:tcBorders>
              <w:right w:val="nil"/>
            </w:tcBorders>
            <w:shd w:val="clear" w:color="auto" w:fill="B7B7B7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79"/>
              <w:rPr>
                <w:i/>
                <w:sz w:val="22"/>
              </w:rPr>
            </w:pPr>
          </w:p>
          <w:p>
            <w:pPr>
              <w:pStyle w:val="TableParagraph"/>
              <w:ind w:left="1" w:right="17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2"/>
                <w:sz w:val="22"/>
              </w:rPr>
              <w:t> 158.734.571,00</w:t>
            </w:r>
          </w:p>
        </w:tc>
      </w:tr>
      <w:tr>
        <w:trPr>
          <w:trHeight w:val="1235" w:hRule="atLeast"/>
        </w:trPr>
        <w:tc>
          <w:tcPr>
            <w:tcW w:w="2251" w:type="dxa"/>
            <w:tcBorders>
              <w:left w:val="nil"/>
              <w:bottom w:val="nil"/>
            </w:tcBorders>
            <w:shd w:val="clear" w:color="auto" w:fill="B7B7B7"/>
          </w:tcPr>
          <w:p>
            <w:pPr>
              <w:pStyle w:val="TableParagraph"/>
              <w:spacing w:before="81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12" w:right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Cozinha </w:t>
            </w:r>
            <w:r>
              <w:rPr>
                <w:b/>
                <w:spacing w:val="-2"/>
                <w:sz w:val="22"/>
              </w:rPr>
              <w:t>Cidadã</w:t>
            </w:r>
          </w:p>
          <w:p>
            <w:pPr>
              <w:pStyle w:val="TableParagraph"/>
              <w:spacing w:before="2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-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RCC</w:t>
            </w:r>
          </w:p>
        </w:tc>
        <w:tc>
          <w:tcPr>
            <w:tcW w:w="3511" w:type="dxa"/>
            <w:tcBorders>
              <w:bottom w:val="nil"/>
            </w:tcBorders>
            <w:shd w:val="clear" w:color="auto" w:fill="B7B7B7"/>
          </w:tcPr>
          <w:p>
            <w:pPr>
              <w:pStyle w:val="TableParagraph"/>
              <w:spacing w:before="80"/>
              <w:ind w:left="2" w:right="7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rest./Refeição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reais:</w:t>
            </w:r>
          </w:p>
          <w:p>
            <w:pPr>
              <w:pStyle w:val="TableParagraph"/>
              <w:spacing w:before="2"/>
              <w:ind w:left="6" w:right="7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2"/>
                <w:sz w:val="22"/>
              </w:rPr>
              <w:t> 97.200.000,00</w:t>
            </w:r>
          </w:p>
          <w:p>
            <w:pPr>
              <w:pStyle w:val="TableParagraph"/>
              <w:spacing w:line="267" w:lineRule="exact" w:before="2"/>
              <w:ind w:left="6" w:right="7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Azul: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R$</w:t>
            </w:r>
            <w:r>
              <w:rPr>
                <w:spacing w:val="-2"/>
                <w:sz w:val="22"/>
              </w:rPr>
              <w:t> 2.895.343,92</w:t>
            </w:r>
          </w:p>
          <w:p>
            <w:pPr>
              <w:pStyle w:val="TableParagraph"/>
              <w:spacing w:line="267" w:lineRule="exact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-2"/>
                <w:sz w:val="22"/>
              </w:rPr>
              <w:t> 100.095.343,92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B7B7B7"/>
          </w:tcPr>
          <w:p>
            <w:pPr>
              <w:pStyle w:val="TableParagraph"/>
              <w:spacing w:before="217"/>
              <w:rPr>
                <w:i/>
                <w:sz w:val="22"/>
              </w:rPr>
            </w:pPr>
          </w:p>
          <w:p>
            <w:pPr>
              <w:pStyle w:val="TableParagraph"/>
              <w:ind w:left="57" w:right="58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2"/>
                <w:sz w:val="22"/>
              </w:rPr>
              <w:t> 98.993.901,00</w:t>
            </w:r>
          </w:p>
        </w:tc>
        <w:tc>
          <w:tcPr>
            <w:tcW w:w="2071" w:type="dxa"/>
            <w:tcBorders>
              <w:bottom w:val="nil"/>
              <w:right w:val="nil"/>
            </w:tcBorders>
            <w:shd w:val="clear" w:color="auto" w:fill="B7B7B7"/>
          </w:tcPr>
          <w:p>
            <w:pPr>
              <w:pStyle w:val="TableParagraph"/>
              <w:spacing w:before="217"/>
              <w:rPr>
                <w:i/>
                <w:sz w:val="22"/>
              </w:rPr>
            </w:pPr>
          </w:p>
          <w:p>
            <w:pPr>
              <w:pStyle w:val="TableParagraph"/>
              <w:ind w:left="6" w:right="17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2"/>
                <w:sz w:val="22"/>
              </w:rPr>
              <w:t> 67.000.000,00</w:t>
            </w:r>
          </w:p>
        </w:tc>
      </w:tr>
    </w:tbl>
    <w:p>
      <w:pPr>
        <w:pStyle w:val="TableParagraph"/>
        <w:spacing w:after="0"/>
        <w:jc w:val="center"/>
        <w:rPr>
          <w:sz w:val="22"/>
        </w:rPr>
        <w:sectPr>
          <w:pgSz w:w="11910" w:h="16840"/>
          <w:pgMar w:top="1420" w:bottom="280" w:left="1417" w:right="0"/>
        </w:sectPr>
      </w:pPr>
    </w:p>
    <w:p>
      <w:pPr>
        <w:pStyle w:val="BodyText"/>
        <w:spacing w:before="1"/>
        <w:rPr>
          <w:i/>
          <w:sz w:val="2"/>
        </w:rPr>
      </w:pPr>
    </w:p>
    <w:tbl>
      <w:tblPr>
        <w:tblW w:w="0" w:type="auto"/>
        <w:jc w:val="left"/>
        <w:tblInd w:w="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1"/>
        <w:gridCol w:w="3511"/>
        <w:gridCol w:w="2071"/>
        <w:gridCol w:w="2071"/>
      </w:tblGrid>
      <w:tr>
        <w:trPr>
          <w:trHeight w:val="2040" w:hRule="atLeast"/>
        </w:trPr>
        <w:tc>
          <w:tcPr>
            <w:tcW w:w="2251" w:type="dxa"/>
            <w:tcBorders>
              <w:top w:val="nil"/>
              <w:left w:val="nil"/>
            </w:tcBorders>
            <w:shd w:val="clear" w:color="auto" w:fill="B7B7B7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80"/>
              <w:rPr>
                <w:i/>
                <w:sz w:val="22"/>
              </w:rPr>
            </w:pPr>
          </w:p>
          <w:p>
            <w:pPr>
              <w:pStyle w:val="TableParagraph"/>
              <w:ind w:left="12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Cidade </w:t>
            </w:r>
            <w:r>
              <w:rPr>
                <w:b/>
                <w:spacing w:val="-2"/>
                <w:sz w:val="22"/>
              </w:rPr>
              <w:t>Solidária</w:t>
            </w:r>
          </w:p>
        </w:tc>
        <w:tc>
          <w:tcPr>
            <w:tcW w:w="3511" w:type="dxa"/>
            <w:tcBorders>
              <w:top w:val="nil"/>
            </w:tcBorders>
            <w:shd w:val="clear" w:color="auto" w:fill="B7B7B7"/>
          </w:tcPr>
          <w:p>
            <w:pPr>
              <w:pStyle w:val="TableParagraph"/>
              <w:spacing w:line="267" w:lineRule="exact" w:before="215"/>
              <w:ind w:left="5" w:right="7"/>
              <w:jc w:val="center"/>
              <w:rPr>
                <w:sz w:val="22"/>
              </w:rPr>
            </w:pPr>
            <w:r>
              <w:rPr>
                <w:sz w:val="22"/>
              </w:rPr>
              <w:t>Granterra: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R$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92.378.250,00</w:t>
            </w:r>
          </w:p>
          <w:p>
            <w:pPr>
              <w:pStyle w:val="TableParagraph"/>
              <w:spacing w:line="267" w:lineRule="exact"/>
              <w:ind w:right="7"/>
              <w:jc w:val="center"/>
              <w:rPr>
                <w:sz w:val="22"/>
              </w:rPr>
            </w:pPr>
            <w:r>
              <w:rPr>
                <w:sz w:val="22"/>
              </w:rPr>
              <w:t>+ CVS: R$</w:t>
            </w:r>
            <w:r>
              <w:rPr>
                <w:spacing w:val="-2"/>
                <w:sz w:val="22"/>
              </w:rPr>
              <w:t> 44.596.937,50</w:t>
            </w:r>
          </w:p>
          <w:p>
            <w:pPr>
              <w:pStyle w:val="TableParagraph"/>
              <w:spacing w:before="2"/>
              <w:ind w:left="528" w:right="534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Cestas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terras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indígenas: R$ 19.250.937,50</w:t>
            </w:r>
          </w:p>
          <w:p>
            <w:pPr>
              <w:pStyle w:val="TableParagraph"/>
              <w:spacing w:line="267" w:lineRule="exact"/>
              <w:ind w:left="4" w:right="7"/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Logistics: R$</w:t>
            </w:r>
            <w:r>
              <w:rPr>
                <w:spacing w:val="-2"/>
                <w:sz w:val="22"/>
              </w:rPr>
              <w:t> 8.750.000,00</w:t>
            </w:r>
          </w:p>
          <w:p>
            <w:pPr>
              <w:pStyle w:val="TableParagraph"/>
              <w:spacing w:before="1"/>
              <w:ind w:righ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-2"/>
                <w:sz w:val="22"/>
              </w:rPr>
              <w:t> 164.976.125,00</w:t>
            </w:r>
          </w:p>
        </w:tc>
        <w:tc>
          <w:tcPr>
            <w:tcW w:w="2071" w:type="dxa"/>
            <w:tcBorders>
              <w:top w:val="nil"/>
            </w:tcBorders>
            <w:shd w:val="clear" w:color="auto" w:fill="B7B7B7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80"/>
              <w:rPr>
                <w:i/>
                <w:sz w:val="22"/>
              </w:rPr>
            </w:pPr>
          </w:p>
          <w:p>
            <w:pPr>
              <w:pStyle w:val="TableParagraph"/>
              <w:ind w:left="57" w:right="63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149.311.187,00</w:t>
            </w:r>
          </w:p>
        </w:tc>
        <w:tc>
          <w:tcPr>
            <w:tcW w:w="2071" w:type="dxa"/>
            <w:tcBorders>
              <w:top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80"/>
              <w:rPr>
                <w:i/>
                <w:sz w:val="22"/>
              </w:rPr>
            </w:pPr>
          </w:p>
          <w:p>
            <w:pPr>
              <w:pStyle w:val="TableParagraph"/>
              <w:ind w:left="6" w:right="17"/>
              <w:jc w:val="center"/>
              <w:rPr>
                <w:sz w:val="22"/>
              </w:rPr>
            </w:pPr>
            <w:r>
              <w:rPr>
                <w:sz w:val="22"/>
              </w:rPr>
              <w:t>R$</w:t>
            </w:r>
            <w:r>
              <w:rPr>
                <w:spacing w:val="-2"/>
                <w:sz w:val="22"/>
              </w:rPr>
              <w:t> 69.000.000,00</w:t>
            </w:r>
          </w:p>
        </w:tc>
      </w:tr>
      <w:tr>
        <w:trPr>
          <w:trHeight w:val="1020" w:hRule="atLeast"/>
        </w:trPr>
        <w:tc>
          <w:tcPr>
            <w:tcW w:w="2251" w:type="dxa"/>
            <w:tcBorders>
              <w:left w:val="nil"/>
              <w:bottom w:val="nil"/>
            </w:tcBorders>
            <w:shd w:val="clear" w:color="auto" w:fill="B7B7B7"/>
          </w:tcPr>
          <w:p>
            <w:pPr>
              <w:pStyle w:val="TableParagraph"/>
              <w:spacing w:before="107"/>
              <w:rPr>
                <w:i/>
                <w:sz w:val="22"/>
              </w:rPr>
            </w:pPr>
          </w:p>
          <w:p>
            <w:pPr>
              <w:pStyle w:val="TableParagraph"/>
              <w:ind w:left="12" w:right="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3511" w:type="dxa"/>
            <w:tcBorders>
              <w:bottom w:val="nil"/>
            </w:tcBorders>
            <w:shd w:val="clear" w:color="auto" w:fill="B7B7B7"/>
          </w:tcPr>
          <w:p>
            <w:pPr>
              <w:pStyle w:val="TableParagraph"/>
              <w:spacing w:before="107"/>
              <w:rPr>
                <w:i/>
                <w:sz w:val="22"/>
              </w:rPr>
            </w:pPr>
          </w:p>
          <w:p>
            <w:pPr>
              <w:pStyle w:val="TableParagraph"/>
              <w:ind w:left="900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-2"/>
                <w:sz w:val="22"/>
              </w:rPr>
              <w:t> 540.573.021,21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B7B7B7"/>
          </w:tcPr>
          <w:p>
            <w:pPr>
              <w:pStyle w:val="TableParagraph"/>
              <w:spacing w:before="107"/>
              <w:rPr>
                <w:i/>
                <w:sz w:val="22"/>
              </w:rPr>
            </w:pPr>
          </w:p>
          <w:p>
            <w:pPr>
              <w:pStyle w:val="TableParagraph"/>
              <w:ind w:left="57" w:right="6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-2"/>
                <w:sz w:val="22"/>
              </w:rPr>
              <w:t> 471.202.706,71</w:t>
            </w:r>
          </w:p>
        </w:tc>
        <w:tc>
          <w:tcPr>
            <w:tcW w:w="2071" w:type="dxa"/>
            <w:tcBorders>
              <w:bottom w:val="nil"/>
              <w:right w:val="nil"/>
            </w:tcBorders>
            <w:shd w:val="clear" w:color="auto" w:fill="B7B7B7"/>
          </w:tcPr>
          <w:p>
            <w:pPr>
              <w:pStyle w:val="TableParagraph"/>
              <w:spacing w:before="107"/>
              <w:rPr>
                <w:i/>
                <w:sz w:val="22"/>
              </w:rPr>
            </w:pPr>
          </w:p>
          <w:p>
            <w:pPr>
              <w:pStyle w:val="TableParagraph"/>
              <w:ind w:right="1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73"/>
                <w:w w:val="15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319.840.175,00</w:t>
            </w:r>
          </w:p>
        </w:tc>
      </w:tr>
    </w:tbl>
    <w:p>
      <w:pPr>
        <w:pStyle w:val="BodyText"/>
        <w:rPr>
          <w:i/>
        </w:rPr>
      </w:pPr>
    </w:p>
    <w:p>
      <w:pPr>
        <w:pStyle w:val="BodyText"/>
        <w:spacing w:before="34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488" w:val="left" w:leader="none"/>
        </w:tabs>
        <w:spacing w:line="240" w:lineRule="auto" w:before="0" w:after="0"/>
        <w:ind w:left="488" w:right="0" w:hanging="345"/>
        <w:jc w:val="left"/>
      </w:pPr>
      <w:r>
        <w:rPr/>
        <w:t>Estimativa</w:t>
      </w:r>
      <w:r>
        <w:rPr>
          <w:spacing w:val="-2"/>
        </w:rPr>
        <w:t> </w:t>
      </w:r>
      <w:r>
        <w:rPr/>
        <w:t>e</w:t>
      </w:r>
      <w:r>
        <w:rPr>
          <w:spacing w:val="-9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Orçamentária</w:t>
      </w:r>
      <w:r>
        <w:rPr>
          <w:spacing w:val="-6"/>
        </w:rPr>
        <w:t> </w:t>
      </w:r>
      <w:r>
        <w:rPr/>
        <w:t>do</w:t>
      </w:r>
      <w:r>
        <w:rPr>
          <w:spacing w:val="-2"/>
        </w:rPr>
        <w:t> </w:t>
      </w:r>
      <w:r>
        <w:rPr/>
        <w:t>FAASP</w:t>
      </w:r>
      <w:r>
        <w:rPr>
          <w:spacing w:val="-5"/>
        </w:rPr>
        <w:t> </w:t>
      </w:r>
      <w:r>
        <w:rPr>
          <w:spacing w:val="-2"/>
        </w:rPr>
        <w:t>2025;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"/>
        <w:rPr>
          <w:b/>
          <w:sz w:val="20"/>
        </w:rPr>
      </w:pPr>
    </w:p>
    <w:tbl>
      <w:tblPr>
        <w:tblW w:w="0" w:type="auto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1800"/>
        <w:gridCol w:w="1725"/>
        <w:gridCol w:w="1455"/>
        <w:gridCol w:w="1650"/>
        <w:gridCol w:w="2115"/>
      </w:tblGrid>
      <w:tr>
        <w:trPr>
          <w:trHeight w:val="1380" w:hRule="atLeast"/>
        </w:trPr>
        <w:tc>
          <w:tcPr>
            <w:tcW w:w="1711" w:type="dxa"/>
            <w:tcBorders>
              <w:top w:val="nil"/>
              <w:left w:val="nil"/>
            </w:tcBorders>
            <w:shd w:val="clear" w:color="auto" w:fill="99999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4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Programas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99999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Orçamento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Inicial</w:t>
            </w:r>
          </w:p>
        </w:tc>
        <w:tc>
          <w:tcPr>
            <w:tcW w:w="1725" w:type="dxa"/>
            <w:tcBorders>
              <w:top w:val="nil"/>
            </w:tcBorders>
            <w:shd w:val="clear" w:color="auto" w:fill="999999"/>
          </w:tcPr>
          <w:p>
            <w:pPr>
              <w:pStyle w:val="TableParagraph"/>
              <w:spacing w:before="204"/>
              <w:rPr>
                <w:b/>
                <w:sz w:val="20"/>
              </w:rPr>
            </w:pPr>
          </w:p>
          <w:p>
            <w:pPr>
              <w:pStyle w:val="TableParagraph"/>
              <w:spacing w:line="235" w:lineRule="auto"/>
              <w:ind w:left="556" w:hanging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Atualizado Líquido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99999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2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Reservado</w:t>
            </w:r>
          </w:p>
        </w:tc>
        <w:tc>
          <w:tcPr>
            <w:tcW w:w="1650" w:type="dxa"/>
            <w:tcBorders>
              <w:top w:val="nil"/>
            </w:tcBorders>
            <w:shd w:val="clear" w:color="auto" w:fill="99999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25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Empenhado</w:t>
            </w:r>
          </w:p>
        </w:tc>
        <w:tc>
          <w:tcPr>
            <w:tcW w:w="2115" w:type="dxa"/>
            <w:tcBorders>
              <w:top w:val="nil"/>
              <w:right w:val="nil"/>
            </w:tcBorders>
            <w:shd w:val="clear" w:color="auto" w:fill="99999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6"/>
              <w:rPr>
                <w:b/>
                <w:sz w:val="20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Liquidado</w:t>
            </w:r>
          </w:p>
        </w:tc>
      </w:tr>
      <w:tr>
        <w:trPr>
          <w:trHeight w:val="1965" w:hRule="atLeast"/>
        </w:trPr>
        <w:tc>
          <w:tcPr>
            <w:tcW w:w="1711" w:type="dxa"/>
            <w:tcBorders>
              <w:left w:val="nil"/>
            </w:tcBorders>
            <w:shd w:val="clear" w:color="auto" w:fill="B7B7B7"/>
          </w:tcPr>
          <w:p>
            <w:pPr>
              <w:pStyle w:val="TableParagraph"/>
              <w:spacing w:line="276" w:lineRule="auto" w:before="139"/>
              <w:ind w:left="135" w:right="1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Armazém Solidário</w:t>
            </w:r>
          </w:p>
          <w:p>
            <w:pPr>
              <w:pStyle w:val="TableParagraph"/>
              <w:spacing w:line="243" w:lineRule="exact"/>
              <w:ind w:left="135" w:right="106"/>
              <w:jc w:val="center"/>
              <w:rPr>
                <w:sz w:val="20"/>
              </w:rPr>
            </w:pPr>
            <w:r>
              <w:rPr>
                <w:sz w:val="20"/>
              </w:rPr>
              <w:t>(6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unidades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6"/>
              <w:ind w:left="135" w:right="1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60.793</w:t>
            </w:r>
          </w:p>
          <w:p>
            <w:pPr>
              <w:pStyle w:val="TableParagraph"/>
              <w:spacing w:line="276" w:lineRule="auto" w:before="36"/>
              <w:ind w:left="435" w:right="407" w:hanging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pessoas atendidas)</w:t>
            </w:r>
          </w:p>
        </w:tc>
        <w:tc>
          <w:tcPr>
            <w:tcW w:w="1800" w:type="dxa"/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18.502.000,00</w:t>
            </w:r>
          </w:p>
        </w:tc>
        <w:tc>
          <w:tcPr>
            <w:tcW w:w="1725" w:type="dxa"/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24.526.189,80</w:t>
            </w:r>
          </w:p>
        </w:tc>
        <w:tc>
          <w:tcPr>
            <w:tcW w:w="1455" w:type="dxa"/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23.820.757</w:t>
            </w: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,80</w:t>
            </w:r>
          </w:p>
        </w:tc>
        <w:tc>
          <w:tcPr>
            <w:tcW w:w="1650" w:type="dxa"/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25" w:right="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23.820.757,8</w:t>
            </w:r>
          </w:p>
          <w:p>
            <w:pPr>
              <w:pStyle w:val="TableParagraph"/>
              <w:spacing w:before="1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15" w:type="dxa"/>
            <w:tcBorders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2"/>
              <w:rPr>
                <w:b/>
                <w:sz w:val="20"/>
              </w:rPr>
            </w:pPr>
          </w:p>
          <w:p>
            <w:pPr>
              <w:pStyle w:val="TableParagraph"/>
              <w:ind w:left="42" w:right="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11.368.370,99</w:t>
            </w:r>
          </w:p>
        </w:tc>
      </w:tr>
      <w:tr>
        <w:trPr>
          <w:trHeight w:val="129" w:hRule="atLeast"/>
        </w:trPr>
        <w:tc>
          <w:tcPr>
            <w:tcW w:w="1711" w:type="dxa"/>
            <w:vMerge w:val="restart"/>
            <w:tcBorders>
              <w:left w:val="nil"/>
            </w:tcBorders>
            <w:shd w:val="clear" w:color="auto" w:fill="B7B7B7"/>
          </w:tcPr>
          <w:p>
            <w:pPr>
              <w:pStyle w:val="TableParagraph"/>
              <w:spacing w:line="276" w:lineRule="auto" w:before="139"/>
              <w:ind w:left="425" w:right="392" w:hanging="5"/>
              <w:rPr>
                <w:b/>
                <w:sz w:val="20"/>
              </w:rPr>
            </w:pPr>
            <w:r>
              <w:rPr>
                <w:b/>
                <w:sz w:val="20"/>
              </w:rPr>
              <w:t>Bom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Prato </w:t>
            </w:r>
            <w:r>
              <w:rPr>
                <w:b/>
                <w:spacing w:val="-2"/>
                <w:sz w:val="20"/>
              </w:rPr>
              <w:t>Paulistano</w:t>
            </w:r>
          </w:p>
          <w:p>
            <w:pPr>
              <w:pStyle w:val="TableParagraph"/>
              <w:spacing w:line="243" w:lineRule="exact"/>
              <w:ind w:left="320"/>
              <w:rPr>
                <w:sz w:val="20"/>
              </w:rPr>
            </w:pPr>
            <w:r>
              <w:rPr>
                <w:sz w:val="20"/>
              </w:rPr>
              <w:t>(5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unidades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before="36"/>
              <w:ind w:left="535"/>
              <w:rPr>
                <w:sz w:val="20"/>
              </w:rPr>
            </w:pPr>
            <w:r>
              <w:rPr>
                <w:spacing w:val="-2"/>
                <w:sz w:val="20"/>
              </w:rPr>
              <w:t>523.879</w:t>
            </w:r>
          </w:p>
          <w:p>
            <w:pPr>
              <w:pStyle w:val="TableParagraph"/>
              <w:spacing w:line="276" w:lineRule="auto" w:before="36"/>
              <w:ind w:left="435" w:right="392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pessoas atendidas)</w:t>
            </w:r>
          </w:p>
        </w:tc>
        <w:tc>
          <w:tcPr>
            <w:tcW w:w="8745" w:type="dxa"/>
            <w:gridSpan w:val="5"/>
            <w:tcBorders>
              <w:bottom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810" w:hRule="atLeast"/>
        </w:trPr>
        <w:tc>
          <w:tcPr>
            <w:tcW w:w="1711" w:type="dxa"/>
            <w:vMerge/>
            <w:tcBorders>
              <w:top w:val="nil"/>
              <w:left w:val="nil"/>
            </w:tcBorders>
            <w:shd w:val="clear" w:color="auto" w:fill="B7B7B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22" w:right="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5.000.000,00</w:t>
            </w:r>
          </w:p>
        </w:tc>
        <w:tc>
          <w:tcPr>
            <w:tcW w:w="1725" w:type="dxa"/>
            <w:tcBorders>
              <w:top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12" w:right="1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2.006.036,90</w:t>
            </w:r>
          </w:p>
        </w:tc>
        <w:tc>
          <w:tcPr>
            <w:tcW w:w="1455" w:type="dxa"/>
            <w:tcBorders>
              <w:top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6"/>
              <w:rPr>
                <w:b/>
                <w:sz w:val="20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2.006.036,</w:t>
            </w:r>
          </w:p>
          <w:p>
            <w:pPr>
              <w:pStyle w:val="TableParagraph"/>
              <w:spacing w:before="1"/>
              <w:ind w:left="1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650" w:type="dxa"/>
            <w:tcBorders>
              <w:top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25" w:right="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2.006.036,90</w:t>
            </w:r>
          </w:p>
        </w:tc>
        <w:tc>
          <w:tcPr>
            <w:tcW w:w="2115" w:type="dxa"/>
            <w:tcBorders>
              <w:top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16"/>
              <w:rPr>
                <w:b/>
                <w:sz w:val="20"/>
              </w:rPr>
            </w:pPr>
          </w:p>
          <w:p>
            <w:pPr>
              <w:pStyle w:val="TableParagraph"/>
              <w:ind w:left="42" w:right="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2.006.036,90</w:t>
            </w:r>
          </w:p>
        </w:tc>
      </w:tr>
      <w:tr>
        <w:trPr>
          <w:trHeight w:val="1965" w:hRule="atLeast"/>
        </w:trPr>
        <w:tc>
          <w:tcPr>
            <w:tcW w:w="1711" w:type="dxa"/>
            <w:tcBorders>
              <w:left w:val="single" w:sz="8" w:space="0" w:color="EC7C30"/>
            </w:tcBorders>
            <w:shd w:val="clear" w:color="auto" w:fill="B7B7B7"/>
          </w:tcPr>
          <w:p>
            <w:pPr>
              <w:pStyle w:val="TableParagraph"/>
              <w:spacing w:line="278" w:lineRule="auto" w:before="139"/>
              <w:ind w:left="260" w:right="238" w:firstLine="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Rede Cozinha Escola – RCE </w:t>
            </w:r>
            <w:r>
              <w:rPr>
                <w:sz w:val="20"/>
              </w:rPr>
              <w:t>(65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unidades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40" w:lineRule="exact"/>
              <w:ind w:left="450"/>
              <w:rPr>
                <w:sz w:val="20"/>
              </w:rPr>
            </w:pPr>
            <w:r>
              <w:rPr>
                <w:spacing w:val="-2"/>
                <w:sz w:val="20"/>
              </w:rPr>
              <w:t>2.678.000</w:t>
            </w:r>
          </w:p>
          <w:p>
            <w:pPr>
              <w:pStyle w:val="TableParagraph"/>
              <w:spacing w:line="276" w:lineRule="auto" w:before="36"/>
              <w:ind w:left="425" w:right="407" w:firstLine="105"/>
              <w:rPr>
                <w:sz w:val="20"/>
              </w:rPr>
            </w:pPr>
            <w:r>
              <w:rPr>
                <w:spacing w:val="-2"/>
                <w:sz w:val="20"/>
              </w:rPr>
              <w:t>pessoas atendidas)</w:t>
            </w:r>
          </w:p>
        </w:tc>
        <w:tc>
          <w:tcPr>
            <w:tcW w:w="1800" w:type="dxa"/>
            <w:tcBorders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158.734.571,0</w:t>
            </w:r>
          </w:p>
          <w:p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725" w:type="dxa"/>
            <w:tcBorders>
              <w:left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18" w:right="7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145.355.077,1</w:t>
            </w:r>
          </w:p>
          <w:p>
            <w:pPr>
              <w:pStyle w:val="TableParagraph"/>
              <w:spacing w:before="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455" w:type="dxa"/>
            <w:tcBorders>
              <w:left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133.480.80</w:t>
            </w: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8,90</w:t>
            </w:r>
          </w:p>
        </w:tc>
        <w:tc>
          <w:tcPr>
            <w:tcW w:w="1650" w:type="dxa"/>
            <w:tcBorders>
              <w:left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25" w:right="7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120.229.704,</w:t>
            </w:r>
          </w:p>
          <w:p>
            <w:pPr>
              <w:pStyle w:val="TableParagraph"/>
              <w:spacing w:before="1"/>
              <w:ind w:left="25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2115" w:type="dxa"/>
            <w:tcBorders>
              <w:left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7"/>
              <w:rPr>
                <w:b/>
                <w:sz w:val="20"/>
              </w:rPr>
            </w:pPr>
          </w:p>
          <w:p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57.086.378,01</w:t>
            </w:r>
          </w:p>
        </w:tc>
      </w:tr>
      <w:tr>
        <w:trPr>
          <w:trHeight w:val="1685" w:hRule="atLeast"/>
        </w:trPr>
        <w:tc>
          <w:tcPr>
            <w:tcW w:w="1711" w:type="dxa"/>
            <w:tcBorders>
              <w:left w:val="nil"/>
              <w:bottom w:val="nil"/>
            </w:tcBorders>
            <w:shd w:val="clear" w:color="auto" w:fill="B7B7B7"/>
          </w:tcPr>
          <w:p>
            <w:pPr>
              <w:pStyle w:val="TableParagraph"/>
              <w:spacing w:line="278" w:lineRule="auto" w:before="139"/>
              <w:ind w:left="340" w:right="275" w:hanging="4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Cozinha Cidadã -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RCC </w:t>
            </w:r>
            <w:r>
              <w:rPr>
                <w:sz w:val="20"/>
              </w:rPr>
              <w:t>(44 pontos –</w:t>
            </w:r>
          </w:p>
          <w:p>
            <w:pPr>
              <w:pStyle w:val="TableParagraph"/>
              <w:spacing w:line="240" w:lineRule="exact"/>
              <w:ind w:left="460"/>
              <w:rPr>
                <w:sz w:val="20"/>
              </w:rPr>
            </w:pPr>
            <w:r>
              <w:rPr>
                <w:spacing w:val="-2"/>
                <w:sz w:val="20"/>
              </w:rPr>
              <w:t>1.886.360</w:t>
            </w:r>
          </w:p>
          <w:p>
            <w:pPr>
              <w:pStyle w:val="TableParagraph"/>
              <w:spacing w:before="36"/>
              <w:ind w:left="540"/>
              <w:rPr>
                <w:sz w:val="20"/>
              </w:rPr>
            </w:pPr>
            <w:r>
              <w:rPr>
                <w:spacing w:val="-2"/>
                <w:sz w:val="20"/>
              </w:rPr>
              <w:t>pessoas</w:t>
            </w:r>
          </w:p>
        </w:tc>
        <w:tc>
          <w:tcPr>
            <w:tcW w:w="1800" w:type="dxa"/>
            <w:tcBorders>
              <w:bottom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1"/>
              <w:rPr>
                <w:b/>
                <w:sz w:val="20"/>
              </w:rPr>
            </w:pPr>
          </w:p>
          <w:p>
            <w:pPr>
              <w:pStyle w:val="TableParagraph"/>
              <w:ind w:left="11" w:right="5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67.000.000,00</w:t>
            </w:r>
          </w:p>
        </w:tc>
        <w:tc>
          <w:tcPr>
            <w:tcW w:w="1725" w:type="dxa"/>
            <w:tcBorders>
              <w:left w:val="nil"/>
              <w:bottom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1"/>
              <w:rPr>
                <w:b/>
                <w:sz w:val="20"/>
              </w:rPr>
            </w:pPr>
          </w:p>
          <w:p>
            <w:pPr>
              <w:pStyle w:val="TableParagraph"/>
              <w:ind w:left="18" w:right="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55.789.667,70</w:t>
            </w:r>
          </w:p>
        </w:tc>
        <w:tc>
          <w:tcPr>
            <w:tcW w:w="1455" w:type="dxa"/>
            <w:tcBorders>
              <w:left w:val="nil"/>
              <w:bottom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55.789.667</w:t>
            </w:r>
          </w:p>
          <w:p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,70</w:t>
            </w: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5" w:right="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32.875.471,8</w:t>
            </w:r>
          </w:p>
          <w:p>
            <w:pPr>
              <w:pStyle w:val="TableParagraph"/>
              <w:ind w:lef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115" w:type="dxa"/>
            <w:tcBorders>
              <w:left w:val="nil"/>
              <w:bottom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1"/>
              <w:rPr>
                <w:b/>
                <w:sz w:val="20"/>
              </w:rPr>
            </w:pPr>
          </w:p>
          <w:p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17.661.719,20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pgSz w:w="11910" w:h="16840"/>
          <w:pgMar w:top="1420" w:bottom="280" w:left="1417" w:right="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right"/>
        <w:tblCellSpacing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1"/>
        <w:gridCol w:w="1800"/>
        <w:gridCol w:w="1725"/>
        <w:gridCol w:w="1455"/>
        <w:gridCol w:w="1650"/>
        <w:gridCol w:w="2115"/>
      </w:tblGrid>
      <w:tr>
        <w:trPr>
          <w:trHeight w:val="1380" w:hRule="atLeast"/>
        </w:trPr>
        <w:tc>
          <w:tcPr>
            <w:tcW w:w="1701" w:type="dxa"/>
            <w:tcBorders>
              <w:top w:val="nil"/>
              <w:left w:val="nil"/>
            </w:tcBorders>
            <w:shd w:val="clear" w:color="auto" w:fill="B7B7B7"/>
          </w:tcPr>
          <w:p>
            <w:pPr>
              <w:pStyle w:val="TableParagraph"/>
              <w:spacing w:before="139"/>
              <w:ind w:left="8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atendidas)</w:t>
            </w:r>
          </w:p>
        </w:tc>
        <w:tc>
          <w:tcPr>
            <w:tcW w:w="1780" w:type="dxa"/>
            <w:tcBorders>
              <w:top w:val="nil"/>
            </w:tcBorders>
            <w:shd w:val="clear" w:color="auto" w:fill="B7B7B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nil"/>
            </w:tcBorders>
            <w:shd w:val="clear" w:color="auto" w:fill="B7B7B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nil"/>
            </w:tcBorders>
            <w:shd w:val="clear" w:color="auto" w:fill="B7B7B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  <w:tcBorders>
              <w:top w:val="nil"/>
            </w:tcBorders>
            <w:shd w:val="clear" w:color="auto" w:fill="B7B7B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  <w:tcBorders>
              <w:top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85" w:hRule="atLeast"/>
        </w:trPr>
        <w:tc>
          <w:tcPr>
            <w:tcW w:w="1701" w:type="dxa"/>
            <w:tcBorders>
              <w:left w:val="nil"/>
            </w:tcBorders>
            <w:shd w:val="clear" w:color="auto" w:fill="B7B7B7"/>
          </w:tcPr>
          <w:p>
            <w:pPr>
              <w:pStyle w:val="TableParagraph"/>
              <w:spacing w:line="276" w:lineRule="auto" w:before="139"/>
              <w:ind w:left="490" w:firstLine="7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Cidade Solidária </w:t>
            </w:r>
            <w:r>
              <w:rPr>
                <w:spacing w:val="-2"/>
                <w:sz w:val="20"/>
              </w:rPr>
              <w:t>(419.496</w:t>
            </w:r>
          </w:p>
          <w:p>
            <w:pPr>
              <w:pStyle w:val="TableParagraph"/>
              <w:spacing w:line="280" w:lineRule="auto"/>
              <w:ind w:left="425" w:firstLine="115"/>
              <w:rPr>
                <w:sz w:val="20"/>
              </w:rPr>
            </w:pPr>
            <w:r>
              <w:rPr>
                <w:spacing w:val="-2"/>
                <w:sz w:val="20"/>
              </w:rPr>
              <w:t>famílias atendidas)</w:t>
            </w:r>
          </w:p>
        </w:tc>
        <w:tc>
          <w:tcPr>
            <w:tcW w:w="1780" w:type="dxa"/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1"/>
              <w:rPr>
                <w:b/>
                <w:sz w:val="20"/>
              </w:rPr>
            </w:pPr>
          </w:p>
          <w:p>
            <w:pPr>
              <w:pStyle w:val="TableParagraph"/>
              <w:ind w:left="180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69.000.000,00</w:t>
            </w:r>
          </w:p>
        </w:tc>
        <w:tc>
          <w:tcPr>
            <w:tcW w:w="1705" w:type="dxa"/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1"/>
              <w:rPr>
                <w:b/>
                <w:sz w:val="20"/>
              </w:rPr>
            </w:pPr>
          </w:p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66.009.895,20</w:t>
            </w:r>
          </w:p>
        </w:tc>
        <w:tc>
          <w:tcPr>
            <w:tcW w:w="1435" w:type="dxa"/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66.009.895</w:t>
            </w:r>
          </w:p>
          <w:p>
            <w:pPr>
              <w:pStyle w:val="TableParagraph"/>
              <w:spacing w:before="1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,20</w:t>
            </w:r>
          </w:p>
        </w:tc>
        <w:tc>
          <w:tcPr>
            <w:tcW w:w="1630" w:type="dxa"/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6"/>
              <w:rPr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66.009.870,9</w:t>
            </w:r>
          </w:p>
          <w:p>
            <w:pPr>
              <w:pStyle w:val="TableParagraph"/>
              <w:spacing w:before="1"/>
              <w:ind w:left="9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105" w:type="dxa"/>
            <w:tcBorders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31"/>
              <w:rPr>
                <w:b/>
                <w:sz w:val="20"/>
              </w:rPr>
            </w:pPr>
          </w:p>
          <w:p>
            <w:pPr>
              <w:pStyle w:val="TableParagraph"/>
              <w:ind w:left="20" w:right="4"/>
              <w:jc w:val="center"/>
              <w:rPr>
                <w:sz w:val="20"/>
              </w:rPr>
            </w:pPr>
            <w:r>
              <w:rPr>
                <w:sz w:val="20"/>
              </w:rPr>
              <w:t>R$ </w:t>
            </w:r>
            <w:r>
              <w:rPr>
                <w:spacing w:val="-2"/>
                <w:sz w:val="20"/>
              </w:rPr>
              <w:t>19.626.529,57</w:t>
            </w:r>
          </w:p>
        </w:tc>
      </w:tr>
      <w:tr>
        <w:trPr>
          <w:trHeight w:val="1180" w:hRule="atLeast"/>
        </w:trPr>
        <w:tc>
          <w:tcPr>
            <w:tcW w:w="1701" w:type="dxa"/>
            <w:tcBorders>
              <w:left w:val="nil"/>
              <w:bottom w:val="nil"/>
            </w:tcBorders>
            <w:shd w:val="clear" w:color="auto" w:fill="B7B7B7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780" w:type="dxa"/>
            <w:tcBorders>
              <w:bottom w:val="nil"/>
            </w:tcBorders>
            <w:shd w:val="clear" w:color="auto" w:fill="B7B7B7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</w:t>
            </w:r>
            <w:r>
              <w:rPr>
                <w:b/>
                <w:spacing w:val="66"/>
                <w:w w:val="15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319.840.175,</w:t>
            </w:r>
          </w:p>
          <w:p>
            <w:pPr>
              <w:pStyle w:val="TableParagraph"/>
              <w:spacing w:before="1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B7B7B7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 </w:t>
            </w:r>
            <w:r>
              <w:rPr>
                <w:b/>
                <w:spacing w:val="-2"/>
                <w:sz w:val="20"/>
              </w:rPr>
              <w:t>293.687.866,6</w:t>
            </w:r>
          </w:p>
          <w:p>
            <w:pPr>
              <w:pStyle w:val="TableParagraph"/>
              <w:spacing w:before="1"/>
              <w:ind w:left="5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435" w:type="dxa"/>
            <w:tcBorders>
              <w:bottom w:val="nil"/>
            </w:tcBorders>
            <w:shd w:val="clear" w:color="auto" w:fill="B7B7B7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 </w:t>
            </w:r>
            <w:r>
              <w:rPr>
                <w:b/>
                <w:spacing w:val="-2"/>
                <w:sz w:val="20"/>
              </w:rPr>
              <w:t>281.107.1</w:t>
            </w:r>
          </w:p>
          <w:p>
            <w:pPr>
              <w:pStyle w:val="TableParagraph"/>
              <w:spacing w:before="1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66,45</w:t>
            </w:r>
          </w:p>
        </w:tc>
        <w:tc>
          <w:tcPr>
            <w:tcW w:w="1630" w:type="dxa"/>
            <w:tcBorders>
              <w:bottom w:val="nil"/>
            </w:tcBorders>
            <w:shd w:val="clear" w:color="auto" w:fill="B7B7B7"/>
          </w:tcPr>
          <w:p>
            <w:pPr>
              <w:pStyle w:val="TableParagraph"/>
              <w:spacing w:before="100"/>
              <w:rPr>
                <w:b/>
                <w:sz w:val="20"/>
              </w:rPr>
            </w:pPr>
          </w:p>
          <w:p>
            <w:pPr>
              <w:pStyle w:val="TableParagraph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 </w:t>
            </w:r>
            <w:r>
              <w:rPr>
                <w:b/>
                <w:spacing w:val="-2"/>
                <w:sz w:val="20"/>
              </w:rPr>
              <w:t>244.941.842,</w:t>
            </w:r>
          </w:p>
          <w:p>
            <w:pPr>
              <w:pStyle w:val="TableParagraph"/>
              <w:spacing w:before="1"/>
              <w:ind w:left="5" w:righ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2105" w:type="dxa"/>
            <w:tcBorders>
              <w:bottom w:val="nil"/>
              <w:right w:val="nil"/>
            </w:tcBorders>
            <w:shd w:val="clear" w:color="auto" w:fill="B7B7B7"/>
          </w:tcPr>
          <w:p>
            <w:pPr>
              <w:pStyle w:val="TableParagraph"/>
              <w:spacing w:before="220"/>
              <w:rPr>
                <w:b/>
                <w:sz w:val="20"/>
              </w:rPr>
            </w:pPr>
          </w:p>
          <w:p>
            <w:pPr>
              <w:pStyle w:val="TableParagraph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R$ </w:t>
            </w:r>
            <w:r>
              <w:rPr>
                <w:b/>
                <w:spacing w:val="-2"/>
                <w:sz w:val="20"/>
              </w:rPr>
              <w:t>107.749.034,71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9"/>
        <w:rPr>
          <w:b/>
          <w:sz w:val="20"/>
        </w:rPr>
      </w:pPr>
    </w:p>
    <w:tbl>
      <w:tblPr>
        <w:tblW w:w="0" w:type="auto"/>
        <w:jc w:val="left"/>
        <w:tblInd w:w="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56"/>
        <w:gridCol w:w="2206"/>
        <w:gridCol w:w="2656"/>
        <w:gridCol w:w="2371"/>
      </w:tblGrid>
      <w:tr>
        <w:trPr>
          <w:trHeight w:val="2280" w:hRule="atLeast"/>
        </w:trPr>
        <w:tc>
          <w:tcPr>
            <w:tcW w:w="2056" w:type="dxa"/>
            <w:tcBorders>
              <w:top w:val="nil"/>
              <w:left w:val="nil"/>
            </w:tcBorders>
            <w:shd w:val="clear" w:color="auto" w:fill="99999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Previsão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2025</w:t>
            </w:r>
          </w:p>
        </w:tc>
        <w:tc>
          <w:tcPr>
            <w:tcW w:w="2206" w:type="dxa"/>
            <w:tcBorders>
              <w:top w:val="nil"/>
            </w:tcBorders>
            <w:shd w:val="clear" w:color="auto" w:fill="99999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5"/>
              <w:rPr>
                <w:b/>
                <w:sz w:val="22"/>
              </w:rPr>
            </w:pPr>
          </w:p>
          <w:p>
            <w:pPr>
              <w:pStyle w:val="TableParagraph"/>
              <w:ind w:left="395" w:right="390" w:firstLine="1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Necessidade </w:t>
            </w:r>
            <w:r>
              <w:rPr>
                <w:b/>
                <w:sz w:val="22"/>
              </w:rPr>
              <w:t>Contratos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2024</w:t>
            </w:r>
          </w:p>
        </w:tc>
        <w:tc>
          <w:tcPr>
            <w:tcW w:w="2656" w:type="dxa"/>
            <w:tcBorders>
              <w:top w:val="nil"/>
            </w:tcBorders>
            <w:shd w:val="clear" w:color="auto" w:fill="99999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5"/>
              <w:rPr>
                <w:b/>
                <w:sz w:val="22"/>
              </w:rPr>
            </w:pPr>
          </w:p>
          <w:p>
            <w:pPr>
              <w:pStyle w:val="TableParagraph"/>
              <w:ind w:left="1050" w:hanging="646"/>
              <w:rPr>
                <w:b/>
                <w:sz w:val="22"/>
              </w:rPr>
            </w:pPr>
            <w:r>
              <w:rPr>
                <w:b/>
                <w:sz w:val="22"/>
              </w:rPr>
              <w:t>Envio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PMSP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para </w:t>
            </w:r>
            <w:r>
              <w:rPr>
                <w:b/>
                <w:spacing w:val="-4"/>
                <w:sz w:val="22"/>
              </w:rPr>
              <w:t>CMSP</w:t>
            </w:r>
          </w:p>
        </w:tc>
        <w:tc>
          <w:tcPr>
            <w:tcW w:w="2371" w:type="dxa"/>
            <w:tcBorders>
              <w:top w:val="nil"/>
              <w:right w:val="nil"/>
            </w:tcBorders>
            <w:shd w:val="clear" w:color="auto" w:fill="99999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6" w:right="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Pressão</w:t>
            </w:r>
            <w:r>
              <w:rPr>
                <w:b/>
                <w:spacing w:val="-2"/>
                <w:sz w:val="22"/>
              </w:rPr>
              <w:t> prevista</w:t>
            </w:r>
          </w:p>
        </w:tc>
      </w:tr>
      <w:tr>
        <w:trPr>
          <w:trHeight w:val="1780" w:hRule="atLeast"/>
        </w:trPr>
        <w:tc>
          <w:tcPr>
            <w:tcW w:w="2056" w:type="dxa"/>
            <w:tcBorders>
              <w:left w:val="nil"/>
              <w:bottom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left="10" w:right="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-2"/>
                <w:sz w:val="22"/>
              </w:rPr>
              <w:t> 540.573.021,21</w:t>
            </w:r>
          </w:p>
        </w:tc>
        <w:tc>
          <w:tcPr>
            <w:tcW w:w="2206" w:type="dxa"/>
            <w:tcBorders>
              <w:bottom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left="250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-2"/>
                <w:sz w:val="22"/>
              </w:rPr>
              <w:t> 471.202.706,71</w:t>
            </w:r>
          </w:p>
        </w:tc>
        <w:tc>
          <w:tcPr>
            <w:tcW w:w="2656" w:type="dxa"/>
            <w:tcBorders>
              <w:bottom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left="475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319.840.175,00</w:t>
            </w:r>
          </w:p>
        </w:tc>
        <w:tc>
          <w:tcPr>
            <w:tcW w:w="2371" w:type="dxa"/>
            <w:tcBorders>
              <w:bottom w:val="nil"/>
              <w:right w:val="nil"/>
            </w:tcBorders>
            <w:shd w:val="clear" w:color="auto" w:fill="B7B7B7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9"/>
              <w:rPr>
                <w:b/>
                <w:sz w:val="22"/>
              </w:rPr>
            </w:pPr>
          </w:p>
          <w:p>
            <w:pPr>
              <w:pStyle w:val="TableParagraph"/>
              <w:ind w:right="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R$</w:t>
            </w:r>
            <w:r>
              <w:rPr>
                <w:b/>
                <w:spacing w:val="-2"/>
                <w:sz w:val="22"/>
              </w:rPr>
              <w:t> 220.732.846,00</w:t>
            </w:r>
          </w:p>
        </w:tc>
      </w:tr>
    </w:tbl>
    <w:p>
      <w:pPr>
        <w:pStyle w:val="BodyText"/>
        <w:spacing w:before="223"/>
        <w:rPr>
          <w:b/>
        </w:rPr>
      </w:pPr>
    </w:p>
    <w:p>
      <w:pPr>
        <w:spacing w:line="417" w:lineRule="auto" w:before="0"/>
        <w:ind w:left="23" w:right="2551" w:firstLine="0"/>
        <w:jc w:val="left"/>
        <w:rPr>
          <w:sz w:val="22"/>
        </w:rPr>
      </w:pPr>
      <w:r>
        <w:rPr>
          <w:b/>
          <w:sz w:val="22"/>
        </w:rPr>
        <w:t>Os membros do Comitê Executivo também emitiram as seguintes deliberações: </w:t>
      </w:r>
      <w:r>
        <w:rPr>
          <w:sz w:val="22"/>
        </w:rPr>
        <w:t>Aprovação do extrato de ata da Nona Reunião Ordinária do Comitê Executivo; Resultados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atualizações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7"/>
          <w:sz w:val="22"/>
        </w:rPr>
        <w:t> </w:t>
      </w:r>
      <w:r>
        <w:rPr>
          <w:sz w:val="22"/>
        </w:rPr>
        <w:t>Programas</w:t>
      </w:r>
      <w:r>
        <w:rPr>
          <w:spacing w:val="-3"/>
          <w:sz w:val="22"/>
        </w:rPr>
        <w:t> </w:t>
      </w:r>
      <w:r>
        <w:rPr>
          <w:sz w:val="22"/>
        </w:rPr>
        <w:t>financiados</w:t>
      </w:r>
      <w:r>
        <w:rPr>
          <w:spacing w:val="-7"/>
          <w:sz w:val="22"/>
        </w:rPr>
        <w:t> </w:t>
      </w:r>
      <w:r>
        <w:rPr>
          <w:sz w:val="22"/>
        </w:rPr>
        <w:t>pelo</w:t>
      </w:r>
      <w:r>
        <w:rPr>
          <w:spacing w:val="-6"/>
          <w:sz w:val="22"/>
        </w:rPr>
        <w:t> </w:t>
      </w:r>
      <w:r>
        <w:rPr>
          <w:sz w:val="22"/>
        </w:rPr>
        <w:t>FAASP</w:t>
      </w:r>
      <w:r>
        <w:rPr>
          <w:spacing w:val="-5"/>
          <w:sz w:val="22"/>
        </w:rPr>
        <w:t> </w:t>
      </w:r>
      <w:r>
        <w:rPr>
          <w:sz w:val="22"/>
        </w:rPr>
        <w:t>até 15/05/2025.</w:t>
      </w:r>
    </w:p>
    <w:p>
      <w:pPr>
        <w:pStyle w:val="BodyText"/>
        <w:spacing w:before="165"/>
      </w:pPr>
    </w:p>
    <w:p>
      <w:pPr>
        <w:pStyle w:val="Heading1"/>
        <w:numPr>
          <w:ilvl w:val="0"/>
          <w:numId w:val="1"/>
        </w:numPr>
        <w:tabs>
          <w:tab w:pos="369" w:val="left" w:leader="none"/>
        </w:tabs>
        <w:spacing w:line="240" w:lineRule="auto" w:before="0" w:after="0"/>
        <w:ind w:left="369" w:right="0" w:hanging="346"/>
        <w:jc w:val="left"/>
      </w:pPr>
      <w:r>
        <w:rPr/>
        <w:t>Outros</w:t>
      </w:r>
      <w:r>
        <w:rPr>
          <w:spacing w:val="-2"/>
        </w:rPr>
        <w:t> </w:t>
      </w:r>
      <w:r>
        <w:rPr/>
        <w:t>informes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pontos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pauta</w:t>
      </w:r>
      <w:r>
        <w:rPr>
          <w:spacing w:val="-1"/>
        </w:rPr>
        <w:t> </w:t>
      </w:r>
      <w:r>
        <w:rPr>
          <w:spacing w:val="-2"/>
        </w:rPr>
        <w:t>discutidos:</w:t>
      </w:r>
    </w:p>
    <w:p>
      <w:pPr>
        <w:pStyle w:val="BodyText"/>
        <w:spacing w:line="276" w:lineRule="auto" w:before="157"/>
        <w:ind w:left="23" w:right="1562"/>
        <w:jc w:val="both"/>
      </w:pPr>
      <w:r>
        <w:rPr>
          <w:b/>
        </w:rPr>
        <w:t>(iv.1)</w:t>
      </w:r>
      <w:r>
        <w:rPr>
          <w:b/>
          <w:spacing w:val="-6"/>
        </w:rPr>
        <w:t> </w:t>
      </w:r>
      <w:r>
        <w:rPr/>
        <w:t>Apresentação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Alimentômetro,</w:t>
      </w:r>
      <w:r>
        <w:rPr>
          <w:spacing w:val="-9"/>
        </w:rPr>
        <w:t> </w:t>
      </w:r>
      <w:r>
        <w:rPr/>
        <w:t>com</w:t>
      </w:r>
      <w:r>
        <w:rPr>
          <w:spacing w:val="-10"/>
        </w:rPr>
        <w:t> </w:t>
      </w:r>
      <w:r>
        <w:rPr/>
        <w:t>número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refeições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primeiro</w:t>
      </w:r>
      <w:r>
        <w:rPr>
          <w:spacing w:val="-10"/>
        </w:rPr>
        <w:t> </w:t>
      </w:r>
      <w:r>
        <w:rPr/>
        <w:t>quadrimestre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2025 superior a 5 milhões;</w:t>
      </w:r>
    </w:p>
    <w:p>
      <w:pPr>
        <w:pStyle w:val="BodyText"/>
        <w:spacing w:line="273" w:lineRule="auto" w:before="123"/>
        <w:ind w:left="23" w:right="1566"/>
        <w:jc w:val="both"/>
      </w:pPr>
      <w:r>
        <w:rPr>
          <w:b/>
        </w:rPr>
        <w:t>(iv.2) </w:t>
      </w:r>
      <w:r>
        <w:rPr/>
        <w:t>Cidade Solidária: estudo de composição de cestas básicas para Povos Indígenas. Iniciativa em elaboração.</w:t>
      </w:r>
      <w:r>
        <w:rPr>
          <w:spacing w:val="-9"/>
        </w:rPr>
        <w:t> </w:t>
      </w:r>
      <w:r>
        <w:rPr/>
        <w:t>COPIND</w:t>
      </w:r>
      <w:r>
        <w:rPr>
          <w:spacing w:val="-9"/>
        </w:rPr>
        <w:t> </w:t>
      </w:r>
      <w:r>
        <w:rPr/>
        <w:t>está</w:t>
      </w:r>
      <w:r>
        <w:rPr>
          <w:spacing w:val="-9"/>
        </w:rPr>
        <w:t> </w:t>
      </w:r>
      <w:r>
        <w:rPr/>
        <w:t>cadastrando</w:t>
      </w:r>
      <w:r>
        <w:rPr>
          <w:spacing w:val="-9"/>
        </w:rPr>
        <w:t> </w:t>
      </w:r>
      <w:r>
        <w:rPr/>
        <w:t>os</w:t>
      </w:r>
      <w:r>
        <w:rPr>
          <w:spacing w:val="-9"/>
        </w:rPr>
        <w:t> </w:t>
      </w:r>
      <w:r>
        <w:rPr/>
        <w:t>beneficiários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estimar</w:t>
      </w:r>
      <w:r>
        <w:rPr>
          <w:spacing w:val="-10"/>
        </w:rPr>
        <w:t> </w:t>
      </w:r>
      <w:r>
        <w:rPr/>
        <w:t>número</w:t>
      </w:r>
      <w:r>
        <w:rPr>
          <w:spacing w:val="-9"/>
        </w:rPr>
        <w:t> </w:t>
      </w:r>
      <w:r>
        <w:rPr/>
        <w:t>de</w:t>
      </w:r>
      <w:r>
        <w:rPr>
          <w:spacing w:val="-3"/>
        </w:rPr>
        <w:t> </w:t>
      </w:r>
      <w:r>
        <w:rPr/>
        <w:t>cestas</w:t>
      </w:r>
      <w:r>
        <w:rPr>
          <w:spacing w:val="-9"/>
        </w:rPr>
        <w:t> </w:t>
      </w:r>
      <w:r>
        <w:rPr/>
        <w:t>necessários</w:t>
      </w:r>
      <w:r>
        <w:rPr>
          <w:spacing w:val="-4"/>
        </w:rPr>
        <w:t> </w:t>
      </w:r>
      <w:r>
        <w:rPr/>
        <w:t>e, então seguirá para o processo de compra;</w:t>
      </w:r>
    </w:p>
    <w:p>
      <w:pPr>
        <w:pStyle w:val="BodyText"/>
        <w:spacing w:after="0" w:line="273" w:lineRule="auto"/>
        <w:jc w:val="both"/>
        <w:sectPr>
          <w:pgSz w:w="11910" w:h="16840"/>
          <w:pgMar w:top="1420" w:bottom="280" w:left="1417" w:right="0"/>
        </w:sectPr>
      </w:pPr>
    </w:p>
    <w:p>
      <w:pPr>
        <w:pStyle w:val="BodyText"/>
        <w:spacing w:line="276" w:lineRule="auto" w:before="86"/>
        <w:ind w:left="23" w:right="1558"/>
        <w:jc w:val="both"/>
      </w:pPr>
      <w:r>
        <w:rPr>
          <w:b/>
        </w:rPr>
        <w:t>(iv.3)</w:t>
      </w:r>
      <w:r>
        <w:rPr>
          <w:b/>
          <w:spacing w:val="-12"/>
        </w:rPr>
        <w:t> </w:t>
      </w:r>
      <w:r>
        <w:rPr/>
        <w:t>Rede</w:t>
      </w:r>
      <w:r>
        <w:rPr>
          <w:spacing w:val="-13"/>
        </w:rPr>
        <w:t> </w:t>
      </w:r>
      <w:r>
        <w:rPr/>
        <w:t>Cozinha</w:t>
      </w:r>
      <w:r>
        <w:rPr>
          <w:spacing w:val="-9"/>
        </w:rPr>
        <w:t> </w:t>
      </w:r>
      <w:r>
        <w:rPr/>
        <w:t>Cidadã:</w:t>
      </w:r>
      <w:r>
        <w:rPr>
          <w:spacing w:val="-9"/>
        </w:rPr>
        <w:t> </w:t>
      </w:r>
      <w:r>
        <w:rPr/>
        <w:t>Novo</w:t>
      </w:r>
      <w:r>
        <w:rPr>
          <w:spacing w:val="-10"/>
        </w:rPr>
        <w:t> </w:t>
      </w:r>
      <w:r>
        <w:rPr/>
        <w:t>edital</w:t>
      </w:r>
      <w:r>
        <w:rPr>
          <w:spacing w:val="-10"/>
        </w:rPr>
        <w:t> </w:t>
      </w:r>
      <w:r>
        <w:rPr/>
        <w:t>em</w:t>
      </w:r>
      <w:r>
        <w:rPr>
          <w:spacing w:val="-13"/>
        </w:rPr>
        <w:t> </w:t>
      </w:r>
      <w:r>
        <w:rPr/>
        <w:t>execução</w:t>
      </w:r>
      <w:r>
        <w:rPr>
          <w:spacing w:val="-10"/>
        </w:rPr>
        <w:t> </w:t>
      </w:r>
      <w:r>
        <w:rPr/>
        <w:t>desde</w:t>
      </w:r>
      <w:r>
        <w:rPr>
          <w:spacing w:val="-9"/>
        </w:rPr>
        <w:t> </w:t>
      </w:r>
      <w:r>
        <w:rPr/>
        <w:t>setembro;</w:t>
      </w:r>
      <w:r>
        <w:rPr>
          <w:spacing w:val="-8"/>
        </w:rPr>
        <w:t> </w:t>
      </w:r>
      <w:r>
        <w:rPr/>
        <w:t>Aumento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valor</w:t>
      </w:r>
      <w:r>
        <w:rPr>
          <w:spacing w:val="-11"/>
        </w:rPr>
        <w:t> </w:t>
      </w:r>
      <w:r>
        <w:rPr/>
        <w:t>da</w:t>
      </w:r>
      <w:r>
        <w:rPr>
          <w:spacing w:val="-10"/>
        </w:rPr>
        <w:t> </w:t>
      </w:r>
      <w:r>
        <w:rPr/>
        <w:t>refeição para R$ 15,00 e ciclos de contratação de 6 meses; Edital de Credenciamento nº 001/SMDHC/2024, de 17 de setembro de 2024: Vigência do 1º ciclo: 19/11/2024 a 17/05/2025; Vigência do 2º ciclo: 18/05/2025 a 13/11/2025;</w:t>
      </w:r>
    </w:p>
    <w:p>
      <w:pPr>
        <w:pStyle w:val="BodyText"/>
        <w:spacing w:line="276" w:lineRule="auto" w:before="120"/>
        <w:ind w:left="23" w:right="1551"/>
        <w:jc w:val="both"/>
      </w:pPr>
      <w:r>
        <w:rPr>
          <w:b/>
        </w:rPr>
        <w:t>(iv.4) </w:t>
      </w:r>
      <w:r>
        <w:rPr/>
        <w:t>Publicação da Portaria Conjunta com a Secretaria Municipal de Inovação e Tecnologia - SMIT para o fornecimento de Wi-fi Livre os programas de SESANA;</w:t>
      </w:r>
    </w:p>
    <w:p>
      <w:pPr>
        <w:pStyle w:val="BodyText"/>
        <w:spacing w:line="276" w:lineRule="auto" w:before="122"/>
        <w:ind w:left="23" w:right="1567"/>
        <w:jc w:val="both"/>
      </w:pPr>
      <w:r>
        <w:rPr>
          <w:b/>
        </w:rPr>
        <w:t>(iv.5) </w:t>
      </w:r>
      <w:r>
        <w:rPr/>
        <w:t>Rede</w:t>
      </w:r>
      <w:r>
        <w:rPr>
          <w:spacing w:val="-2"/>
        </w:rPr>
        <w:t> </w:t>
      </w:r>
      <w:r>
        <w:rPr/>
        <w:t>Cozinha</w:t>
      </w:r>
      <w:r>
        <w:rPr>
          <w:spacing w:val="-3"/>
        </w:rPr>
        <w:t> </w:t>
      </w:r>
      <w:r>
        <w:rPr/>
        <w:t>Escola:</w:t>
      </w:r>
      <w:r>
        <w:rPr>
          <w:spacing w:val="-2"/>
        </w:rPr>
        <w:t> </w:t>
      </w:r>
      <w:r>
        <w:rPr/>
        <w:t>57 contratos renovados por 12</w:t>
      </w:r>
      <w:r>
        <w:rPr>
          <w:spacing w:val="-4"/>
        </w:rPr>
        <w:t> </w:t>
      </w:r>
      <w:r>
        <w:rPr/>
        <w:t>meses +</w:t>
      </w:r>
      <w:r>
        <w:rPr>
          <w:spacing w:val="-2"/>
        </w:rPr>
        <w:t> </w:t>
      </w:r>
      <w:r>
        <w:rPr/>
        <w:t>8 renovados</w:t>
      </w:r>
      <w:r>
        <w:rPr>
          <w:spacing w:val="-4"/>
        </w:rPr>
        <w:t> </w:t>
      </w:r>
      <w:r>
        <w:rPr/>
        <w:t>por 3</w:t>
      </w:r>
      <w:r>
        <w:rPr>
          <w:spacing w:val="-4"/>
        </w:rPr>
        <w:t> </w:t>
      </w:r>
      <w:r>
        <w:rPr/>
        <w:t>meses. Serão realizadas visitas técnicas em todas as unidades para verificação do funcionamento, limpeza e conformidade com o Edital;</w:t>
      </w:r>
    </w:p>
    <w:p>
      <w:pPr>
        <w:pStyle w:val="BodyText"/>
        <w:spacing w:line="276" w:lineRule="auto" w:before="119"/>
        <w:ind w:left="23" w:right="1559"/>
        <w:jc w:val="both"/>
      </w:pPr>
      <w:r>
        <w:rPr>
          <w:b/>
        </w:rPr>
        <w:t>(iv.6)</w:t>
      </w:r>
      <w:r>
        <w:rPr>
          <w:b/>
          <w:spacing w:val="-1"/>
        </w:rPr>
        <w:t> </w:t>
      </w:r>
      <w:r>
        <w:rPr/>
        <w:t>Armazém</w:t>
      </w:r>
      <w:r>
        <w:rPr>
          <w:spacing w:val="-4"/>
        </w:rPr>
        <w:t> </w:t>
      </w:r>
      <w:r>
        <w:rPr/>
        <w:t>Solidário:</w:t>
      </w:r>
      <w:r>
        <w:rPr>
          <w:spacing w:val="-4"/>
        </w:rPr>
        <w:t> </w:t>
      </w:r>
      <w:r>
        <w:rPr/>
        <w:t>seis</w:t>
      </w:r>
      <w:r>
        <w:rPr>
          <w:spacing w:val="-1"/>
        </w:rPr>
        <w:t> </w:t>
      </w:r>
      <w:r>
        <w:rPr/>
        <w:t>unidades</w:t>
      </w:r>
      <w:r>
        <w:rPr>
          <w:spacing w:val="-5"/>
        </w:rPr>
        <w:t> </w:t>
      </w:r>
      <w:r>
        <w:rPr/>
        <w:t>inauguradas</w:t>
      </w:r>
      <w:r>
        <w:rPr>
          <w:spacing w:val="-1"/>
        </w:rPr>
        <w:t> </w:t>
      </w:r>
      <w:r>
        <w:rPr/>
        <w:t>(São</w:t>
      </w:r>
      <w:r>
        <w:rPr>
          <w:spacing w:val="-1"/>
        </w:rPr>
        <w:t> </w:t>
      </w:r>
      <w:r>
        <w:rPr/>
        <w:t>Miguel,</w:t>
      </w:r>
      <w:r>
        <w:rPr>
          <w:spacing w:val="-4"/>
        </w:rPr>
        <w:t> </w:t>
      </w:r>
      <w:r>
        <w:rPr/>
        <w:t>City</w:t>
      </w:r>
      <w:r>
        <w:rPr>
          <w:spacing w:val="-4"/>
        </w:rPr>
        <w:t> </w:t>
      </w:r>
      <w:r>
        <w:rPr/>
        <w:t>Jaraguá,</w:t>
      </w:r>
      <w:r>
        <w:rPr>
          <w:spacing w:val="-4"/>
        </w:rPr>
        <w:t> </w:t>
      </w:r>
      <w:r>
        <w:rPr/>
        <w:t>Jaraguá,</w:t>
      </w:r>
      <w:r>
        <w:rPr>
          <w:spacing w:val="-4"/>
        </w:rPr>
        <w:t> </w:t>
      </w:r>
      <w:r>
        <w:rPr/>
        <w:t>Guaianases, Estrada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Sabão/Brasilândia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Cidade</w:t>
      </w:r>
      <w:r>
        <w:rPr>
          <w:spacing w:val="-7"/>
        </w:rPr>
        <w:t> </w:t>
      </w:r>
      <w:r>
        <w:rPr/>
        <w:t>Tiradentes)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previsão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mais</w:t>
      </w:r>
      <w:r>
        <w:rPr>
          <w:spacing w:val="-7"/>
        </w:rPr>
        <w:t> </w:t>
      </w:r>
      <w:r>
        <w:rPr/>
        <w:t>uma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2025</w:t>
      </w:r>
      <w:r>
        <w:rPr>
          <w:spacing w:val="-4"/>
        </w:rPr>
        <w:t> </w:t>
      </w:r>
      <w:r>
        <w:rPr/>
        <w:t>(M’boi</w:t>
      </w:r>
      <w:r>
        <w:rPr>
          <w:spacing w:val="-7"/>
        </w:rPr>
        <w:t> </w:t>
      </w:r>
      <w:r>
        <w:rPr/>
        <w:t>Mirim). Relatório</w:t>
      </w:r>
      <w:r>
        <w:rPr>
          <w:spacing w:val="-11"/>
        </w:rPr>
        <w:t> </w:t>
      </w:r>
      <w:r>
        <w:rPr/>
        <w:t>|</w:t>
      </w:r>
      <w:r>
        <w:rPr>
          <w:spacing w:val="-11"/>
        </w:rPr>
        <w:t> </w:t>
      </w:r>
      <w:r>
        <w:rPr/>
        <w:t>Período</w:t>
      </w:r>
      <w:r>
        <w:rPr>
          <w:spacing w:val="-11"/>
        </w:rPr>
        <w:t> </w:t>
      </w:r>
      <w:r>
        <w:rPr/>
        <w:t>01/01/2025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15/05/2025:</w:t>
      </w:r>
      <w:r>
        <w:rPr>
          <w:spacing w:val="-9"/>
        </w:rPr>
        <w:t> </w:t>
      </w:r>
      <w:r>
        <w:rPr/>
        <w:t>Quantidade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compras</w:t>
      </w:r>
      <w:r>
        <w:rPr>
          <w:spacing w:val="-11"/>
        </w:rPr>
        <w:t> </w:t>
      </w:r>
      <w:r>
        <w:rPr/>
        <w:t>nos</w:t>
      </w:r>
      <w:r>
        <w:rPr>
          <w:spacing w:val="-11"/>
        </w:rPr>
        <w:t> </w:t>
      </w:r>
      <w:r>
        <w:rPr/>
        <w:t>armazéns:</w:t>
      </w:r>
      <w:r>
        <w:rPr>
          <w:spacing w:val="-9"/>
        </w:rPr>
        <w:t> </w:t>
      </w:r>
      <w:r>
        <w:rPr/>
        <w:t>353.372.</w:t>
      </w:r>
      <w:r>
        <w:rPr>
          <w:spacing w:val="-11"/>
        </w:rPr>
        <w:t> </w:t>
      </w:r>
      <w:r>
        <w:rPr/>
        <w:t>Total de vendas: R$ 28.570.743,74. Média do valor das vendas: R$80,85. Clientes únicos: 63.445</w:t>
      </w:r>
    </w:p>
    <w:p>
      <w:pPr>
        <w:pStyle w:val="BodyText"/>
        <w:spacing w:line="276" w:lineRule="auto" w:before="120"/>
        <w:ind w:left="23" w:right="1564"/>
        <w:jc w:val="both"/>
      </w:pPr>
      <w:r>
        <w:rPr>
          <w:b/>
        </w:rPr>
        <w:t>(iv.7)</w:t>
      </w:r>
      <w:r>
        <w:rPr>
          <w:b/>
          <w:spacing w:val="-1"/>
        </w:rPr>
        <w:t> </w:t>
      </w:r>
      <w:r>
        <w:rPr/>
        <w:t>Modernização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Alimentos:</w:t>
      </w:r>
      <w:r>
        <w:rPr>
          <w:spacing w:val="-4"/>
        </w:rPr>
        <w:t> </w:t>
      </w:r>
      <w:r>
        <w:rPr/>
        <w:t>Edital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chamamento</w:t>
      </w:r>
      <w:r>
        <w:rPr>
          <w:spacing w:val="-5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MDS/SESAN</w:t>
      </w:r>
      <w:r>
        <w:rPr>
          <w:spacing w:val="-2"/>
        </w:rPr>
        <w:t> </w:t>
      </w:r>
      <w:r>
        <w:rPr/>
        <w:t>Nº</w:t>
      </w:r>
      <w:r>
        <w:rPr>
          <w:spacing w:val="-3"/>
        </w:rPr>
        <w:t> </w:t>
      </w:r>
      <w:r>
        <w:rPr/>
        <w:t>1/2024; R$ 160 mil contrapartida – FAASP;</w:t>
      </w:r>
    </w:p>
    <w:p>
      <w:pPr>
        <w:pStyle w:val="BodyText"/>
        <w:spacing w:line="276" w:lineRule="auto" w:before="123"/>
        <w:ind w:left="23" w:right="1560"/>
        <w:jc w:val="both"/>
      </w:pPr>
      <w:r>
        <w:rPr>
          <w:b/>
        </w:rPr>
        <w:t>(iv.8)</w:t>
      </w:r>
      <w:r>
        <w:rPr>
          <w:b/>
          <w:spacing w:val="-13"/>
        </w:rPr>
        <w:t> </w:t>
      </w:r>
      <w:r>
        <w:rPr/>
        <w:t>Adesão</w:t>
      </w:r>
      <w:r>
        <w:rPr>
          <w:spacing w:val="-12"/>
        </w:rPr>
        <w:t> </w:t>
      </w:r>
      <w:r>
        <w:rPr/>
        <w:t>ao</w:t>
      </w:r>
      <w:r>
        <w:rPr>
          <w:spacing w:val="-13"/>
        </w:rPr>
        <w:t> </w:t>
      </w:r>
      <w:r>
        <w:rPr/>
        <w:t>Programa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Aquisição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Alimentos</w:t>
      </w:r>
      <w:r>
        <w:rPr>
          <w:spacing w:val="-12"/>
        </w:rPr>
        <w:t> </w:t>
      </w:r>
      <w:r>
        <w:rPr/>
        <w:t>(PAA</w:t>
      </w:r>
      <w:r>
        <w:rPr>
          <w:spacing w:val="-12"/>
        </w:rPr>
        <w:t> </w:t>
      </w:r>
      <w:r>
        <w:rPr/>
        <w:t>-</w:t>
      </w:r>
      <w:r>
        <w:rPr>
          <w:spacing w:val="-13"/>
        </w:rPr>
        <w:t> </w:t>
      </w:r>
      <w:r>
        <w:rPr/>
        <w:t>MDS):</w:t>
      </w:r>
      <w:r>
        <w:rPr>
          <w:spacing w:val="-12"/>
        </w:rPr>
        <w:t> </w:t>
      </w:r>
      <w:r>
        <w:rPr/>
        <w:t>Adesão</w:t>
      </w:r>
      <w:r>
        <w:rPr>
          <w:spacing w:val="-13"/>
        </w:rPr>
        <w:t> </w:t>
      </w:r>
      <w:r>
        <w:rPr/>
        <w:t>realizada</w:t>
      </w:r>
      <w:r>
        <w:rPr>
          <w:spacing w:val="-12"/>
        </w:rPr>
        <w:t> </w:t>
      </w:r>
      <w:r>
        <w:rPr/>
        <w:t>em</w:t>
      </w:r>
      <w:r>
        <w:rPr>
          <w:spacing w:val="-13"/>
        </w:rPr>
        <w:t> </w:t>
      </w:r>
      <w:r>
        <w:rPr/>
        <w:t>22/05/2024. Limite Financeiro para a cidade de São Paulo: R$ 1.088.523,84. 134 Agricultores Habilitados em Chamada Pública</w:t>
      </w:r>
      <w:r>
        <w:rPr>
          <w:spacing w:val="2"/>
        </w:rPr>
        <w:t> </w:t>
      </w:r>
      <w:r>
        <w:rPr/>
        <w:t>e</w:t>
      </w:r>
      <w:r>
        <w:rPr>
          <w:spacing w:val="3"/>
        </w:rPr>
        <w:t> </w:t>
      </w:r>
      <w:r>
        <w:rPr/>
        <w:t>93</w:t>
      </w:r>
      <w:r>
        <w:rPr>
          <w:spacing w:val="1"/>
        </w:rPr>
        <w:t> </w:t>
      </w:r>
      <w:r>
        <w:rPr/>
        <w:t>Agricultores</w:t>
      </w:r>
      <w:r>
        <w:rPr>
          <w:spacing w:val="3"/>
        </w:rPr>
        <w:t> </w:t>
      </w:r>
      <w:r>
        <w:rPr/>
        <w:t>Contemplados.</w:t>
      </w:r>
      <w:r>
        <w:rPr>
          <w:spacing w:val="2"/>
        </w:rPr>
        <w:t> </w:t>
      </w:r>
      <w:r>
        <w:rPr/>
        <w:t>Perfil</w:t>
      </w:r>
      <w:r>
        <w:rPr>
          <w:spacing w:val="7"/>
        </w:rPr>
        <w:t> </w:t>
      </w:r>
      <w:r>
        <w:rPr/>
        <w:t>dos</w:t>
      </w:r>
      <w:r>
        <w:rPr>
          <w:spacing w:val="1"/>
        </w:rPr>
        <w:t> </w:t>
      </w:r>
      <w:r>
        <w:rPr/>
        <w:t>agricultores</w:t>
      </w:r>
      <w:r>
        <w:rPr>
          <w:spacing w:val="1"/>
        </w:rPr>
        <w:t> </w:t>
      </w:r>
      <w:r>
        <w:rPr/>
        <w:t>Contemplados:</w:t>
      </w:r>
      <w:r>
        <w:rPr>
          <w:spacing w:val="5"/>
        </w:rPr>
        <w:t> </w:t>
      </w:r>
      <w:r>
        <w:rPr>
          <w:spacing w:val="-2"/>
        </w:rPr>
        <w:t>Mulheres,</w:t>
      </w:r>
    </w:p>
    <w:p>
      <w:pPr>
        <w:pStyle w:val="BodyText"/>
        <w:spacing w:line="267" w:lineRule="exact"/>
        <w:ind w:left="23"/>
        <w:jc w:val="both"/>
      </w:pPr>
      <w:r>
        <w:rPr/>
        <w:t>Assentados</w:t>
      </w:r>
      <w:r>
        <w:rPr>
          <w:spacing w:val="-7"/>
        </w:rPr>
        <w:t> </w:t>
      </w:r>
      <w:r>
        <w:rPr/>
        <w:t>da</w:t>
      </w:r>
      <w:r>
        <w:rPr>
          <w:spacing w:val="-3"/>
        </w:rPr>
        <w:t> </w:t>
      </w:r>
      <w:r>
        <w:rPr/>
        <w:t>Reforma</w:t>
      </w:r>
      <w:r>
        <w:rPr>
          <w:spacing w:val="1"/>
        </w:rPr>
        <w:t> </w:t>
      </w:r>
      <w:r>
        <w:rPr/>
        <w:t>Agrária,</w:t>
      </w:r>
      <w:r>
        <w:rPr>
          <w:spacing w:val="-2"/>
        </w:rPr>
        <w:t> </w:t>
      </w:r>
      <w:r>
        <w:rPr/>
        <w:t>Quilombolas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Produtores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Orgânicos</w:t>
      </w:r>
    </w:p>
    <w:p>
      <w:pPr>
        <w:pStyle w:val="BodyText"/>
        <w:spacing w:line="276" w:lineRule="auto" w:before="161"/>
        <w:ind w:left="23" w:right="1548"/>
        <w:jc w:val="both"/>
      </w:pPr>
      <w:r>
        <w:rPr>
          <w:b/>
        </w:rPr>
        <w:t>(iv.9) </w:t>
      </w:r>
      <w:r>
        <w:rPr/>
        <w:t>Informe sobre Projetos Cooperação Técnica Internacional - 2025: C40 Cities - participação no grupo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trabalho</w:t>
      </w:r>
      <w:r>
        <w:rPr>
          <w:spacing w:val="-10"/>
        </w:rPr>
        <w:t> </w:t>
      </w:r>
      <w:r>
        <w:rPr/>
        <w:t>que</w:t>
      </w:r>
      <w:r>
        <w:rPr>
          <w:spacing w:val="-3"/>
        </w:rPr>
        <w:t> </w:t>
      </w:r>
      <w:r>
        <w:rPr/>
        <w:t>desenvolverá</w:t>
      </w:r>
      <w:r>
        <w:rPr>
          <w:spacing w:val="-9"/>
        </w:rPr>
        <w:t> </w:t>
      </w:r>
      <w:r>
        <w:rPr/>
        <w:t>o</w:t>
      </w:r>
      <w:r>
        <w:rPr>
          <w:spacing w:val="-4"/>
        </w:rPr>
        <w:t> </w:t>
      </w:r>
      <w:r>
        <w:rPr/>
        <w:t>Pathway</w:t>
      </w:r>
      <w:r>
        <w:rPr>
          <w:spacing w:val="-3"/>
        </w:rPr>
        <w:t> </w:t>
      </w:r>
      <w:r>
        <w:rPr/>
        <w:t>Towards</w:t>
      </w:r>
      <w:r>
        <w:rPr>
          <w:spacing w:val="-5"/>
        </w:rPr>
        <w:t> </w:t>
      </w:r>
      <w:r>
        <w:rPr/>
        <w:t>Good</w:t>
      </w:r>
      <w:r>
        <w:rPr>
          <w:spacing w:val="-9"/>
        </w:rPr>
        <w:t> </w:t>
      </w:r>
      <w:r>
        <w:rPr/>
        <w:t>Food</w:t>
      </w:r>
      <w:r>
        <w:rPr>
          <w:spacing w:val="-4"/>
        </w:rPr>
        <w:t> </w:t>
      </w:r>
      <w:r>
        <w:rPr/>
        <w:t>Cities:</w:t>
      </w:r>
      <w:r>
        <w:rPr>
          <w:spacing w:val="-7"/>
        </w:rPr>
        <w:t> </w:t>
      </w:r>
      <w:r>
        <w:rPr/>
        <w:t>Compromisso</w:t>
      </w:r>
      <w:r>
        <w:rPr>
          <w:spacing w:val="-4"/>
        </w:rPr>
        <w:t> </w:t>
      </w:r>
      <w:r>
        <w:rPr/>
        <w:t>focado</w:t>
      </w:r>
      <w:r>
        <w:rPr>
          <w:spacing w:val="-4"/>
        </w:rPr>
        <w:t> </w:t>
      </w:r>
      <w:r>
        <w:rPr/>
        <w:t>em segurança alimentar e nutricional e na construção de economias alimentares urbanas resilientes, voltado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cidades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Sul</w:t>
      </w:r>
      <w:r>
        <w:rPr>
          <w:spacing w:val="-9"/>
        </w:rPr>
        <w:t> </w:t>
      </w:r>
      <w:r>
        <w:rPr/>
        <w:t>Global.</w:t>
      </w:r>
      <w:r>
        <w:rPr>
          <w:spacing w:val="-9"/>
        </w:rPr>
        <w:t> </w:t>
      </w:r>
      <w:r>
        <w:rPr/>
        <w:t>Milan</w:t>
      </w:r>
      <w:r>
        <w:rPr>
          <w:spacing w:val="-9"/>
        </w:rPr>
        <w:t> </w:t>
      </w:r>
      <w:r>
        <w:rPr/>
        <w:t>Pact</w:t>
      </w:r>
      <w:r>
        <w:rPr>
          <w:spacing w:val="-7"/>
        </w:rPr>
        <w:t> </w:t>
      </w:r>
      <w:r>
        <w:rPr/>
        <w:t>Awards</w:t>
      </w:r>
      <w:r>
        <w:rPr>
          <w:spacing w:val="-10"/>
        </w:rPr>
        <w:t> </w:t>
      </w:r>
      <w:r>
        <w:rPr/>
        <w:t>2025</w:t>
      </w:r>
      <w:r>
        <w:rPr>
          <w:spacing w:val="-10"/>
        </w:rPr>
        <w:t> </w:t>
      </w:r>
      <w:r>
        <w:rPr/>
        <w:t>(MPA):</w:t>
      </w:r>
      <w:r>
        <w:rPr>
          <w:spacing w:val="-7"/>
        </w:rPr>
        <w:t> </w:t>
      </w:r>
      <w:r>
        <w:rPr/>
        <w:t>Inscrição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Rede</w:t>
      </w:r>
      <w:r>
        <w:rPr>
          <w:spacing w:val="-8"/>
        </w:rPr>
        <w:t> </w:t>
      </w:r>
      <w:r>
        <w:rPr/>
        <w:t>Cozinha</w:t>
      </w:r>
      <w:r>
        <w:rPr>
          <w:spacing w:val="-9"/>
        </w:rPr>
        <w:t> </w:t>
      </w:r>
      <w:r>
        <w:rPr/>
        <w:t>Escola para premiação internacional oferecida pelo Pacto de Milão para Políticas Alimentares Urbanas (MUFPP) que reconhece práticas inovadoras no tema. UNOSSC (United Nations Office for South- South Cooperation): Convite para candidatura de boas práticas em cooperação Sul-Sul e triangular para o desenvolvimento sustentável.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276" w:lineRule="auto"/>
        <w:ind w:left="23" w:right="1559"/>
        <w:jc w:val="both"/>
      </w:pPr>
      <w:r>
        <w:rPr/>
        <w:t>Nada mais havendo a tratar, a Décima Reunião Ordinária do Comitê Executivo do FAASP foi encerrada</w:t>
      </w:r>
      <w:r>
        <w:rPr>
          <w:spacing w:val="-13"/>
        </w:rPr>
        <w:t> </w:t>
      </w:r>
      <w:r>
        <w:rPr/>
        <w:t>às</w:t>
      </w:r>
      <w:r>
        <w:rPr>
          <w:spacing w:val="-12"/>
        </w:rPr>
        <w:t> </w:t>
      </w:r>
      <w:r>
        <w:rPr/>
        <w:t>16h10.</w:t>
      </w:r>
      <w:r>
        <w:rPr>
          <w:spacing w:val="-13"/>
        </w:rPr>
        <w:t> </w:t>
      </w:r>
      <w:r>
        <w:rPr/>
        <w:t>Após</w:t>
      </w:r>
      <w:r>
        <w:rPr>
          <w:spacing w:val="-12"/>
        </w:rPr>
        <w:t> </w:t>
      </w:r>
      <w:r>
        <w:rPr/>
        <w:t>aprovação</w:t>
      </w:r>
      <w:r>
        <w:rPr>
          <w:spacing w:val="-13"/>
        </w:rPr>
        <w:t> </w:t>
      </w:r>
      <w:r>
        <w:rPr/>
        <w:t>na</w:t>
      </w:r>
      <w:r>
        <w:rPr>
          <w:spacing w:val="-12"/>
        </w:rPr>
        <w:t> </w:t>
      </w:r>
      <w:r>
        <w:rPr/>
        <w:t>reunião</w:t>
      </w:r>
      <w:r>
        <w:rPr>
          <w:spacing w:val="-13"/>
        </w:rPr>
        <w:t> </w:t>
      </w:r>
      <w:r>
        <w:rPr/>
        <w:t>subsequente</w:t>
      </w:r>
      <w:r>
        <w:rPr>
          <w:spacing w:val="-12"/>
        </w:rPr>
        <w:t> </w:t>
      </w:r>
      <w:r>
        <w:rPr/>
        <w:t>e</w:t>
      </w:r>
      <w:r>
        <w:rPr>
          <w:spacing w:val="-12"/>
        </w:rPr>
        <w:t> </w:t>
      </w:r>
      <w:r>
        <w:rPr/>
        <w:t>assinatura</w:t>
      </w:r>
      <w:r>
        <w:rPr>
          <w:spacing w:val="-13"/>
        </w:rPr>
        <w:t> </w:t>
      </w:r>
      <w:r>
        <w:rPr/>
        <w:t>pela</w:t>
      </w:r>
      <w:r>
        <w:rPr>
          <w:spacing w:val="-12"/>
        </w:rPr>
        <w:t> </w:t>
      </w:r>
      <w:r>
        <w:rPr/>
        <w:t>Presidente</w:t>
      </w:r>
      <w:r>
        <w:rPr>
          <w:spacing w:val="-13"/>
        </w:rPr>
        <w:t> </w:t>
      </w:r>
      <w:r>
        <w:rPr/>
        <w:t>do</w:t>
      </w:r>
      <w:r>
        <w:rPr>
          <w:spacing w:val="-12"/>
        </w:rPr>
        <w:t> </w:t>
      </w:r>
      <w:r>
        <w:rPr/>
        <w:t>Comitê Executivo, o presente Extrato de Ata será publicado no Diário Oficial da Cidade de São Paulo, bem como será disponibilizado no sítio eletrônico da SMDHC.</w:t>
      </w:r>
    </w:p>
    <w:p>
      <w:pPr>
        <w:pStyle w:val="BodyText"/>
      </w:pPr>
    </w:p>
    <w:p>
      <w:pPr>
        <w:pStyle w:val="BodyText"/>
        <w:spacing w:before="203"/>
      </w:pPr>
    </w:p>
    <w:p>
      <w:pPr>
        <w:pStyle w:val="Heading1"/>
        <w:ind w:right="1419"/>
        <w:jc w:val="center"/>
      </w:pPr>
      <w:r>
        <w:rPr/>
        <w:t>Regina</w:t>
      </w:r>
      <w:r>
        <w:rPr>
          <w:spacing w:val="-2"/>
        </w:rPr>
        <w:t> </w:t>
      </w:r>
      <w:r>
        <w:rPr/>
        <w:t>Célia</w:t>
      </w:r>
      <w:r>
        <w:rPr>
          <w:spacing w:val="-7"/>
        </w:rPr>
        <w:t> </w:t>
      </w:r>
      <w:r>
        <w:rPr/>
        <w:t>da</w:t>
      </w:r>
      <w:r>
        <w:rPr>
          <w:spacing w:val="-2"/>
        </w:rPr>
        <w:t> </w:t>
      </w:r>
      <w:r>
        <w:rPr/>
        <w:t>Silveira</w:t>
      </w:r>
      <w:r>
        <w:rPr>
          <w:spacing w:val="-1"/>
        </w:rPr>
        <w:t> </w:t>
      </w:r>
      <w:r>
        <w:rPr>
          <w:spacing w:val="-2"/>
        </w:rPr>
        <w:t>Santana</w:t>
      </w:r>
    </w:p>
    <w:p>
      <w:pPr>
        <w:pStyle w:val="BodyText"/>
        <w:spacing w:before="42"/>
        <w:ind w:right="1419"/>
        <w:jc w:val="center"/>
      </w:pPr>
      <w:r>
        <w:rPr/>
        <w:t>Presidente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Comitê</w:t>
      </w:r>
      <w:r>
        <w:rPr>
          <w:spacing w:val="-1"/>
        </w:rPr>
        <w:t> </w:t>
      </w:r>
      <w:r>
        <w:rPr/>
        <w:t>Executivo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FAASP</w:t>
      </w:r>
    </w:p>
    <w:p>
      <w:pPr>
        <w:pStyle w:val="BodyText"/>
        <w:spacing w:before="41"/>
        <w:ind w:left="6" w:right="1419"/>
        <w:jc w:val="center"/>
      </w:pPr>
      <w:r>
        <w:rPr/>
        <w:t>Secretaria</w:t>
      </w:r>
      <w:r>
        <w:rPr>
          <w:spacing w:val="-6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Humanos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Cidadania</w:t>
      </w:r>
      <w:r>
        <w:rPr>
          <w:spacing w:val="-3"/>
        </w:rPr>
        <w:t> </w:t>
      </w:r>
      <w:r>
        <w:rPr>
          <w:spacing w:val="-2"/>
        </w:rPr>
        <w:t>(SMDHC)</w:t>
      </w:r>
    </w:p>
    <w:sectPr>
      <w:pgSz w:w="11910" w:h="16840"/>
      <w:pgMar w:top="1340" w:bottom="280" w:left="1417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Roman"/>
      <w:lvlText w:val="(%1)"/>
      <w:lvlJc w:val="left"/>
      <w:pPr>
        <w:ind w:left="143" w:hanging="266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744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2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7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91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2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42" w:hanging="35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2025-10-10T15:08:01Z</dcterms:created>
  <dcterms:modified xsi:type="dcterms:W3CDTF">2025-10-10T15:08:01Z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2025-10-10T00:00:00Z</vt:filetime>
  </property>
</Properties>
</file>