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60" w:right="60" w:firstLine="0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EXTRATO DE ATA - DÉCIMA REUNIÃO ORDINÁRIA DO COMITÊ EXECUTIVO DO FUNDO DE ABASTECIMENTO ALIMENTAR DE SÃO PAULO (FAASP)</w:t>
      </w:r>
    </w:p>
    <w:p w:rsidR="00000000" w:rsidDel="00000000" w:rsidP="00000000" w:rsidRDefault="00000000" w:rsidRPr="00000000" w14:paraId="00000002">
      <w:pPr>
        <w:ind w:left="60" w:right="60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03">
      <w:pPr>
        <w:ind w:left="60" w:right="60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(i)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O Comitê Executivo do Fundo de Abastecimento Alimentar de São Paulo (FAASP), no uso das atribuições que lhes são conferidas pelo art. 10 e seguintes da Lei Municipal n.º 17.819, de 29 de junho de 2022, bem como pelo art. 5º do Decreto Municipal n.º 61.564, de 8 de julho de 2022, torna público o extrato de ata da sua Décima Reunião Ordinária, realizada no dia 20 de maio de 2024.</w:t>
      </w:r>
    </w:p>
    <w:p w:rsidR="00000000" w:rsidDel="00000000" w:rsidP="00000000" w:rsidRDefault="00000000" w:rsidRPr="00000000" w14:paraId="00000005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Ao vigésimo dia do mês de maio de dois mil e vinte e cinco, às 15h, em reunião virtual realizada por meio da plataforma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Microsoft Teams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iniciou-se a Décima Reunião Ordinária do Comitê Executivo do FAASP, com a presença do quórum necessário à realização de deliberações (maioria simples de quatro membros).</w:t>
      </w:r>
    </w:p>
    <w:p w:rsidR="00000000" w:rsidDel="00000000" w:rsidP="00000000" w:rsidRDefault="00000000" w:rsidRPr="00000000" w14:paraId="00000006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Membros do Comitê Executivo presentes: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1"/>
        <w:keepLines w:val="1"/>
        <w:numPr>
          <w:ilvl w:val="0"/>
          <w:numId w:val="1"/>
        </w:numPr>
        <w:spacing w:line="240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Regina Celia da Silveira Santana - Secretária Municipal de Direitos Humanos e  Cidadania</w:t>
      </w:r>
    </w:p>
    <w:p w:rsidR="00000000" w:rsidDel="00000000" w:rsidP="00000000" w:rsidRDefault="00000000" w:rsidRPr="00000000" w14:paraId="0000000A">
      <w:pPr>
        <w:keepNext w:val="1"/>
        <w:keepLines w:val="1"/>
        <w:numPr>
          <w:ilvl w:val="0"/>
          <w:numId w:val="1"/>
        </w:numPr>
        <w:spacing w:line="240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Vitor Arruda - Secretário Executivo de Segurança Alimentar e Nutricional e de  Abastecimento</w:t>
      </w:r>
    </w:p>
    <w:p w:rsidR="00000000" w:rsidDel="00000000" w:rsidP="00000000" w:rsidRDefault="00000000" w:rsidRPr="00000000" w14:paraId="0000000B">
      <w:pPr>
        <w:keepNext w:val="1"/>
        <w:keepLines w:val="1"/>
        <w:numPr>
          <w:ilvl w:val="0"/>
          <w:numId w:val="1"/>
        </w:numPr>
        <w:spacing w:line="240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Stella Verzolla - Secretária Adjunta da Secretaria Municipal de Direitos Humanos e Cidadania</w:t>
      </w:r>
    </w:p>
    <w:p w:rsidR="00000000" w:rsidDel="00000000" w:rsidP="00000000" w:rsidRDefault="00000000" w:rsidRPr="00000000" w14:paraId="0000000C">
      <w:pPr>
        <w:keepNext w:val="1"/>
        <w:keepLines w:val="1"/>
        <w:numPr>
          <w:ilvl w:val="0"/>
          <w:numId w:val="1"/>
        </w:numPr>
        <w:spacing w:line="240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Arthur Xavier – Coordenador de Segurança Alimentar e Nutricional da Secretaria Municipal de Direitos Humanos e Cidadania </w:t>
      </w:r>
    </w:p>
    <w:p w:rsidR="00000000" w:rsidDel="00000000" w:rsidP="00000000" w:rsidRDefault="00000000" w:rsidRPr="00000000" w14:paraId="0000000D">
      <w:pPr>
        <w:keepNext w:val="1"/>
        <w:keepLines w:val="1"/>
        <w:numPr>
          <w:ilvl w:val="0"/>
          <w:numId w:val="1"/>
        </w:numPr>
        <w:spacing w:line="240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Edsom Ortega - Secretário Executivo de Projetos Estratégicos</w:t>
      </w:r>
    </w:p>
    <w:p w:rsidR="00000000" w:rsidDel="00000000" w:rsidP="00000000" w:rsidRDefault="00000000" w:rsidRPr="00000000" w14:paraId="0000000E">
      <w:pPr>
        <w:keepNext w:val="1"/>
        <w:keepLines w:val="1"/>
        <w:numPr>
          <w:ilvl w:val="0"/>
          <w:numId w:val="1"/>
        </w:numPr>
        <w:spacing w:line="240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Luiz Gonzaga de Lima Neto - SGM (Secretaria de Projetos Estratégicos)</w:t>
      </w:r>
    </w:p>
    <w:p w:rsidR="00000000" w:rsidDel="00000000" w:rsidP="00000000" w:rsidRDefault="00000000" w:rsidRPr="00000000" w14:paraId="0000000F">
      <w:pPr>
        <w:keepNext w:val="1"/>
        <w:keepLines w:val="1"/>
        <w:numPr>
          <w:ilvl w:val="0"/>
          <w:numId w:val="1"/>
        </w:numPr>
        <w:spacing w:line="240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Maira Cavalcanti Rocha - representando a Secretaria Municipal de Assistência e  Desenvolvimento Social</w:t>
      </w:r>
    </w:p>
    <w:p w:rsidR="00000000" w:rsidDel="00000000" w:rsidP="00000000" w:rsidRDefault="00000000" w:rsidRPr="00000000" w14:paraId="00000010">
      <w:pPr>
        <w:keepNext w:val="1"/>
        <w:keepLines w:val="1"/>
        <w:numPr>
          <w:ilvl w:val="0"/>
          <w:numId w:val="1"/>
        </w:numPr>
        <w:spacing w:line="240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Vinicius Pedron Macario - Chefe da Assessoria Econômica da Secretaria Municipal da  Fazenda</w:t>
      </w:r>
    </w:p>
    <w:p w:rsidR="00000000" w:rsidDel="00000000" w:rsidP="00000000" w:rsidRDefault="00000000" w:rsidRPr="00000000" w14:paraId="00000011">
      <w:pPr>
        <w:keepNext w:val="1"/>
        <w:keepLines w:val="1"/>
        <w:numPr>
          <w:ilvl w:val="0"/>
          <w:numId w:val="1"/>
        </w:numPr>
        <w:spacing w:line="240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Isabela Costa Campos – Assessora na Coordenadoria de Segurança Alimentar e Nutricional</w:t>
      </w:r>
    </w:p>
    <w:p w:rsidR="00000000" w:rsidDel="00000000" w:rsidP="00000000" w:rsidRDefault="00000000" w:rsidRPr="00000000" w14:paraId="00000012">
      <w:pPr>
        <w:keepNext w:val="1"/>
        <w:keepLines w:val="1"/>
        <w:numPr>
          <w:ilvl w:val="0"/>
          <w:numId w:val="1"/>
        </w:numPr>
        <w:spacing w:line="240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Jordana Soares de Araujo – Residente em Gestão Pública na Coordenadoria de Segurança Alimentar e Nutricional</w:t>
      </w:r>
    </w:p>
    <w:p w:rsidR="00000000" w:rsidDel="00000000" w:rsidP="00000000" w:rsidRDefault="00000000" w:rsidRPr="00000000" w14:paraId="00000013">
      <w:pPr>
        <w:keepNext w:val="1"/>
        <w:keepLines w:val="1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(ii) Execução dos recursos 2025 - 1º quadrimestre</w:t>
      </w:r>
    </w:p>
    <w:p w:rsidR="00000000" w:rsidDel="00000000" w:rsidP="00000000" w:rsidRDefault="00000000" w:rsidRPr="00000000" w14:paraId="00000015">
      <w:pPr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Dados de 15/05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240.0" w:type="dxa"/>
        <w:jc w:val="left"/>
        <w:tblInd w:w="2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420"/>
      </w:tblPr>
      <w:tblGrid>
        <w:gridCol w:w="4020"/>
        <w:gridCol w:w="2595"/>
        <w:gridCol w:w="2625"/>
        <w:tblGridChange w:id="0">
          <w:tblGrid>
            <w:gridCol w:w="4020"/>
            <w:gridCol w:w="2595"/>
            <w:gridCol w:w="2625"/>
          </w:tblGrid>
        </w:tblGridChange>
      </w:tblGrid>
      <w:tr>
        <w:trPr>
          <w:cantSplit w:val="0"/>
          <w:trHeight w:val="102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Etapa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Valor (R$)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Valor em relação ao atualizado (%)</w:t>
            </w:r>
          </w:p>
        </w:tc>
      </w:tr>
      <w:tr>
        <w:trPr>
          <w:cantSplit w:val="0"/>
          <w:trHeight w:val="64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righ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Orçamento inicial (LOA) :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jc w:val="righ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              319.840.175,00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b7b7b7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righ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Valores congelados abril/25 - 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                 26.152.308,35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-</w:t>
            </w:r>
          </w:p>
        </w:tc>
      </w:tr>
      <w:tr>
        <w:trPr>
          <w:cantSplit w:val="0"/>
          <w:trHeight w:val="64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righ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Suplementações + 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jc w:val="righ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-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b7b7b7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-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jc w:val="righ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jc w:val="righ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Orçamento atualizado líquido: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jc w:val="righ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                  293.687.866,65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9999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100%</w:t>
            </w:r>
          </w:p>
        </w:tc>
      </w:tr>
      <w:tr>
        <w:trPr>
          <w:cantSplit w:val="0"/>
          <w:trHeight w:val="64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jc w:val="righ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Reservado: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jc w:val="righ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                  281.107.166,45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b7b7b7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95,72%</w:t>
            </w:r>
          </w:p>
        </w:tc>
      </w:tr>
      <w:tr>
        <w:trPr>
          <w:cantSplit w:val="0"/>
          <w:trHeight w:val="64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jc w:val="righ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Empenhado: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jc w:val="righ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                  244.941.842,98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b7b7b7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83,40%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jc w:val="righ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Liquidado: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jc w:val="righ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                  107.749.034,71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b7b7b7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                        36,69%</w:t>
            </w:r>
          </w:p>
        </w:tc>
      </w:tr>
    </w:tbl>
    <w:p w:rsidR="00000000" w:rsidDel="00000000" w:rsidP="00000000" w:rsidRDefault="00000000" w:rsidRPr="00000000" w14:paraId="00000033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899.999527931235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420"/>
      </w:tblPr>
      <w:tblGrid>
        <w:gridCol w:w="2249.9998927116444"/>
        <w:gridCol w:w="3509.999832630165"/>
        <w:gridCol w:w="2069.999901294713"/>
        <w:gridCol w:w="2069.999901294713"/>
        <w:tblGridChange w:id="0">
          <w:tblGrid>
            <w:gridCol w:w="2249.9998927116444"/>
            <w:gridCol w:w="3509.999832630165"/>
            <w:gridCol w:w="2069.999901294713"/>
            <w:gridCol w:w="2069.999901294713"/>
          </w:tblGrid>
        </w:tblGridChange>
      </w:tblGrid>
      <w:tr>
        <w:trPr>
          <w:cantSplit w:val="0"/>
          <w:trHeight w:val="98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999999" w:val="clear"/>
            <w:tcMar>
              <w:top w:w="80.0" w:type="dxa"/>
              <w:left w:w="140.0" w:type="dxa"/>
              <w:bottom w:w="8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Programa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999999" w:val="clear"/>
            <w:tcMar>
              <w:top w:w="80.0" w:type="dxa"/>
              <w:left w:w="140.0" w:type="dxa"/>
              <w:bottom w:w="8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Estimativa 2025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999999" w:val="clear"/>
            <w:tcMar>
              <w:top w:w="80.0" w:type="dxa"/>
              <w:left w:w="140.0" w:type="dxa"/>
              <w:bottom w:w="8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Necessidade </w:t>
            </w:r>
          </w:p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Contratos Atuais/2024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999999" w:val="clear"/>
            <w:tcMar>
              <w:top w:w="80.0" w:type="dxa"/>
              <w:left w:w="140.0" w:type="dxa"/>
              <w:bottom w:w="8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Envio da PMSP para CMSP</w:t>
            </w:r>
          </w:p>
        </w:tc>
      </w:tr>
      <w:tr>
        <w:trPr>
          <w:cantSplit w:val="0"/>
          <w:trHeight w:val="82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b7b7b7" w:val="clear"/>
            <w:tcMar>
              <w:top w:w="80.0" w:type="dxa"/>
              <w:left w:w="140.0" w:type="dxa"/>
              <w:bottom w:w="8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Banco de Alimentos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b7b7b7" w:val="clear"/>
            <w:tcMar>
              <w:top w:w="80.0" w:type="dxa"/>
              <w:left w:w="140.0" w:type="dxa"/>
              <w:bottom w:w="8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R$ 8.100.000,00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b7b7b7" w:val="clear"/>
            <w:tcMar>
              <w:top w:w="80.0" w:type="dxa"/>
              <w:left w:w="140.0" w:type="dxa"/>
              <w:bottom w:w="8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b7b7b7" w:val="clear"/>
            <w:tcMar>
              <w:top w:w="80.0" w:type="dxa"/>
              <w:left w:w="140.0" w:type="dxa"/>
              <w:bottom w:w="8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b7b7b7" w:val="clear"/>
            <w:tcMar>
              <w:top w:w="80.0" w:type="dxa"/>
              <w:left w:w="140.0" w:type="dxa"/>
              <w:bottom w:w="8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Armazém Solidário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b7b7b7" w:val="clear"/>
            <w:tcMar>
              <w:top w:w="80.0" w:type="dxa"/>
              <w:left w:w="140.0" w:type="dxa"/>
              <w:bottom w:w="8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 unidades: R$ 28.383.471,96 </w:t>
            </w:r>
          </w:p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+ Reformas: R$ 7.928.841,11</w:t>
            </w:r>
          </w:p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+ 3 novas unidades: R$ 5.302.575,04</w:t>
            </w:r>
          </w:p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R$ 41.614.888,11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b7b7b7" w:val="clear"/>
            <w:tcMar>
              <w:top w:w="80.0" w:type="dxa"/>
              <w:left w:w="140.0" w:type="dxa"/>
              <w:bottom w:w="8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R$ 37.119.025,25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b7b7b7" w:val="clear"/>
            <w:tcMar>
              <w:top w:w="80.0" w:type="dxa"/>
              <w:left w:w="140.0" w:type="dxa"/>
              <w:bottom w:w="8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R$ 18.502.000,00</w:t>
            </w:r>
          </w:p>
        </w:tc>
      </w:tr>
      <w:tr>
        <w:trPr>
          <w:cantSplit w:val="0"/>
          <w:trHeight w:val="76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b7b7b7" w:val="clear"/>
            <w:tcMar>
              <w:top w:w="80.0" w:type="dxa"/>
              <w:left w:w="140.0" w:type="dxa"/>
              <w:bottom w:w="8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Bom Prato Paulistano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b7b7b7" w:val="clear"/>
            <w:tcMar>
              <w:top w:w="80.0" w:type="dxa"/>
              <w:left w:w="140.0" w:type="dxa"/>
              <w:bottom w:w="8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 unidades: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R$ 5.502.500,00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b7b7b7" w:val="clear"/>
            <w:tcMar>
              <w:top w:w="80.0" w:type="dxa"/>
              <w:left w:w="140.0" w:type="dxa"/>
              <w:bottom w:w="8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R$ 5.000.000,00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b7b7b7" w:val="clear"/>
            <w:tcMar>
              <w:top w:w="80.0" w:type="dxa"/>
              <w:left w:w="140.0" w:type="dxa"/>
              <w:bottom w:w="8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R$ 5.000.000,00</w:t>
            </w:r>
          </w:p>
        </w:tc>
      </w:tr>
      <w:tr>
        <w:trPr>
          <w:cantSplit w:val="0"/>
          <w:trHeight w:val="76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b7b7b7" w:val="clear"/>
            <w:tcMar>
              <w:top w:w="80.0" w:type="dxa"/>
              <w:left w:w="140.0" w:type="dxa"/>
              <w:bottom w:w="8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Rede Cozinha Escola - RCE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b7b7b7" w:val="clear"/>
            <w:tcMar>
              <w:top w:w="80.0" w:type="dxa"/>
              <w:left w:w="140.0" w:type="dxa"/>
              <w:bottom w:w="8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Parcerias vigentes: R$ 179.342.614,88</w:t>
            </w:r>
          </w:p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+ 30 unidades/6 meses: R$ 40.941.549,30</w:t>
            </w:r>
          </w:p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R$ 220.284.164,18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b7b7b7" w:val="clear"/>
            <w:tcMar>
              <w:top w:w="80.0" w:type="dxa"/>
              <w:left w:w="140.0" w:type="dxa"/>
              <w:bottom w:w="8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R$ 180.775.592,97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b7b7b7" w:val="clear"/>
            <w:tcMar>
              <w:top w:w="80.0" w:type="dxa"/>
              <w:left w:w="140.0" w:type="dxa"/>
              <w:bottom w:w="8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R$ 158.734.571,00</w:t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b7b7b7" w:val="clear"/>
            <w:tcMar>
              <w:top w:w="80.0" w:type="dxa"/>
              <w:left w:w="140.0" w:type="dxa"/>
              <w:bottom w:w="8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Rede Cozinha Cidadã - RCC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b7b7b7" w:val="clear"/>
            <w:tcMar>
              <w:top w:w="80.0" w:type="dxa"/>
              <w:left w:w="140.0" w:type="dxa"/>
              <w:bottom w:w="8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90 rest./Refeição 15 reais: R$ 97.200.000,00</w:t>
            </w:r>
          </w:p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+ Azul: R$ 2.895.343,92</w:t>
            </w:r>
          </w:p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R$ 100.095.343,92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b7b7b7" w:val="clear"/>
            <w:tcMar>
              <w:top w:w="80.0" w:type="dxa"/>
              <w:left w:w="140.0" w:type="dxa"/>
              <w:bottom w:w="8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R$ 98.993.901,00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b7b7b7" w:val="clear"/>
            <w:tcMar>
              <w:top w:w="80.0" w:type="dxa"/>
              <w:left w:w="140.0" w:type="dxa"/>
              <w:bottom w:w="8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R$ 67.000.000,00</w:t>
            </w:r>
          </w:p>
        </w:tc>
      </w:tr>
      <w:tr>
        <w:trPr>
          <w:cantSplit w:val="0"/>
          <w:trHeight w:val="188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b7b7b7" w:val="clear"/>
            <w:tcMar>
              <w:top w:w="80.0" w:type="dxa"/>
              <w:left w:w="140.0" w:type="dxa"/>
              <w:bottom w:w="8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Cidade Solidária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b7b7b7" w:val="clear"/>
            <w:tcMar>
              <w:top w:w="80.0" w:type="dxa"/>
              <w:left w:w="140.0" w:type="dxa"/>
              <w:bottom w:w="8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Granterra: R$ 92.378.250,00</w:t>
            </w:r>
          </w:p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+ CVS: R$ 44.596.937,50</w:t>
            </w:r>
          </w:p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+ Cestas terras indígenas: R$ 19.250.937,50</w:t>
            </w:r>
          </w:p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+ Logistics: R$ 8.750.000,00</w:t>
            </w:r>
          </w:p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R$ 164.976.125,00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b7b7b7" w:val="clear"/>
            <w:tcMar>
              <w:top w:w="80.0" w:type="dxa"/>
              <w:left w:w="140.0" w:type="dxa"/>
              <w:bottom w:w="8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R$ 149.311.187,00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b7b7b7" w:val="clear"/>
            <w:tcMar>
              <w:top w:w="80.0" w:type="dxa"/>
              <w:left w:w="140.0" w:type="dxa"/>
              <w:bottom w:w="8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R$ 69.000.000,00</w:t>
            </w:r>
          </w:p>
        </w:tc>
      </w:tr>
      <w:tr>
        <w:trPr>
          <w:cantSplit w:val="0"/>
          <w:trHeight w:val="86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b7b7b7" w:val="clear"/>
            <w:tcMar>
              <w:top w:w="80.0" w:type="dxa"/>
              <w:left w:w="140.0" w:type="dxa"/>
              <w:bottom w:w="8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Total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b7b7b7" w:val="clear"/>
            <w:tcMar>
              <w:top w:w="80.0" w:type="dxa"/>
              <w:left w:w="140.0" w:type="dxa"/>
              <w:bottom w:w="8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R$ 540.573.021,21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b7b7b7" w:val="clear"/>
            <w:tcMar>
              <w:top w:w="80.0" w:type="dxa"/>
              <w:left w:w="140.0" w:type="dxa"/>
              <w:bottom w:w="8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R$ 471.202.706,71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b7b7b7" w:val="clear"/>
            <w:tcMar>
              <w:top w:w="80.0" w:type="dxa"/>
              <w:left w:w="140.0" w:type="dxa"/>
              <w:bottom w:w="8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R$   319.840.175,00</w:t>
            </w:r>
          </w:p>
        </w:tc>
      </w:tr>
    </w:tbl>
    <w:p w:rsidR="00000000" w:rsidDel="00000000" w:rsidP="00000000" w:rsidRDefault="00000000" w:rsidRPr="00000000" w14:paraId="00000063">
      <w:pPr>
        <w:spacing w:after="120" w:before="120" w:lineRule="auto"/>
        <w:ind w:right="1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64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(iii) Estimativa e Execução Orçamentária do FAASP 2025;</w:t>
      </w:r>
    </w:p>
    <w:p w:rsidR="00000000" w:rsidDel="00000000" w:rsidP="00000000" w:rsidRDefault="00000000" w:rsidRPr="00000000" w14:paraId="00000065">
      <w:pPr>
        <w:widowControl w:val="0"/>
        <w:ind w:hanging="425.19685039370086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048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420"/>
      </w:tblPr>
      <w:tblGrid>
        <w:gridCol w:w="1710"/>
        <w:gridCol w:w="1800"/>
        <w:gridCol w:w="1725"/>
        <w:gridCol w:w="1455"/>
        <w:gridCol w:w="1650"/>
        <w:gridCol w:w="2145"/>
        <w:tblGridChange w:id="0">
          <w:tblGrid>
            <w:gridCol w:w="1710"/>
            <w:gridCol w:w="1800"/>
            <w:gridCol w:w="1725"/>
            <w:gridCol w:w="1455"/>
            <w:gridCol w:w="1650"/>
            <w:gridCol w:w="2145"/>
          </w:tblGrid>
        </w:tblGridChange>
      </w:tblGrid>
      <w:tr>
        <w:trPr>
          <w:cantSplit w:val="0"/>
          <w:trHeight w:val="122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999999" w:val="clear"/>
            <w:tcMar>
              <w:top w:w="80.0" w:type="dxa"/>
              <w:left w:w="140.0" w:type="dxa"/>
              <w:bottom w:w="8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Programas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999999" w:val="clear"/>
            <w:tcMar>
              <w:top w:w="80.0" w:type="dxa"/>
              <w:left w:w="140.0" w:type="dxa"/>
              <w:bottom w:w="8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Orçamento Inicial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999999" w:val="clear"/>
            <w:tcMar>
              <w:top w:w="80.0" w:type="dxa"/>
              <w:left w:w="140.0" w:type="dxa"/>
              <w:bottom w:w="8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Atualizado Líquido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999999" w:val="clear"/>
            <w:tcMar>
              <w:top w:w="80.0" w:type="dxa"/>
              <w:left w:w="140.0" w:type="dxa"/>
              <w:bottom w:w="8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Reservado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999999" w:val="clear"/>
            <w:tcMar>
              <w:top w:w="80.0" w:type="dxa"/>
              <w:left w:w="140.0" w:type="dxa"/>
              <w:bottom w:w="8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Empenhado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999999" w:val="clear"/>
            <w:tcMar>
              <w:top w:w="80.0" w:type="dxa"/>
              <w:left w:w="140.0" w:type="dxa"/>
              <w:bottom w:w="8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Liquidado</w:t>
            </w:r>
          </w:p>
        </w:tc>
      </w:tr>
      <w:tr>
        <w:trPr>
          <w:cantSplit w:val="0"/>
          <w:trHeight w:val="88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b7b7b7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widowControl w:val="0"/>
              <w:spacing w:line="276" w:lineRule="auto"/>
              <w:ind w:left="100" w:right="10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Armazém Solidário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​</w:t>
            </w:r>
          </w:p>
          <w:p w:rsidR="00000000" w:rsidDel="00000000" w:rsidP="00000000" w:rsidRDefault="00000000" w:rsidRPr="00000000" w14:paraId="0000006E">
            <w:pPr>
              <w:widowControl w:val="0"/>
              <w:spacing w:line="276" w:lineRule="auto"/>
              <w:ind w:left="100" w:right="10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(6 unidades – 60.793 pessoas atendidas)​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b7b7b7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R$ 18.502.000,00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b7b7b7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R$ 24.526.189,80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b7b7b7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R$ 23.820.757,80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b7b7b7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R$ 23.820.757,80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b7b7b7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R$ 11.368.370,99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b7b7b7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widowControl w:val="0"/>
              <w:spacing w:line="276" w:lineRule="auto"/>
              <w:ind w:left="100" w:right="10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Bom Prato Paulistano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​</w:t>
            </w:r>
          </w:p>
          <w:p w:rsidR="00000000" w:rsidDel="00000000" w:rsidP="00000000" w:rsidRDefault="00000000" w:rsidRPr="00000000" w14:paraId="00000075">
            <w:pPr>
              <w:widowControl w:val="0"/>
              <w:spacing w:line="276" w:lineRule="auto"/>
              <w:ind w:left="100" w:right="10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(5 unidades – 523.879 pessoas atendidas)​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b7b7b7" w:val="clear"/>
            <w:tcMar>
              <w:top w:w="80.0" w:type="dxa"/>
              <w:left w:w="140.0" w:type="dxa"/>
              <w:bottom w:w="8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R$ 5.000.000,00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b7b7b7" w:val="clear"/>
            <w:tcMar>
              <w:top w:w="80.0" w:type="dxa"/>
              <w:left w:w="140.0" w:type="dxa"/>
              <w:bottom w:w="8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R$ 2.006.036,90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b7b7b7" w:val="clear"/>
            <w:tcMar>
              <w:top w:w="80.0" w:type="dxa"/>
              <w:left w:w="140.0" w:type="dxa"/>
              <w:bottom w:w="8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R$ 2.006.036,90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b7b7b7" w:val="clear"/>
            <w:tcMar>
              <w:top w:w="80.0" w:type="dxa"/>
              <w:left w:w="140.0" w:type="dxa"/>
              <w:bottom w:w="8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R$ 2.006.036,90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b7b7b7" w:val="clear"/>
            <w:tcMar>
              <w:top w:w="80.0" w:type="dxa"/>
              <w:left w:w="140.0" w:type="dxa"/>
              <w:bottom w:w="8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R$ 2.006.036,90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ffffff" w:space="0" w:sz="8" w:val="single"/>
              <w:left w:color="ed7d31" w:space="0" w:sz="8" w:val="single"/>
              <w:bottom w:color="ffffff" w:space="0" w:sz="8" w:val="single"/>
              <w:right w:color="ffffff" w:space="0" w:sz="8" w:val="single"/>
            </w:tcBorders>
            <w:shd w:fill="b7b7b7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widowControl w:val="0"/>
              <w:spacing w:line="276" w:lineRule="auto"/>
              <w:ind w:left="100" w:right="10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Rede Cozinha Escola – RCE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​</w:t>
            </w:r>
          </w:p>
          <w:p w:rsidR="00000000" w:rsidDel="00000000" w:rsidP="00000000" w:rsidRDefault="00000000" w:rsidRPr="00000000" w14:paraId="0000007C">
            <w:pPr>
              <w:widowControl w:val="0"/>
              <w:spacing w:line="276" w:lineRule="auto"/>
              <w:ind w:left="100" w:right="10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(65 unidades – 2.678.000 pessoas atendidas)​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b7b7b7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R$ 158.734.571,00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b7b7b7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R$ 145.355.077,10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b7b7b7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R$ 133.480.808,90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b7b7b7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R$ 120.229.704,95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b7b7b7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R$ 57.086.378,01</w:t>
            </w:r>
          </w:p>
        </w:tc>
      </w:tr>
      <w:tr>
        <w:trPr>
          <w:cantSplit w:val="0"/>
          <w:trHeight w:val="110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b7b7b7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widowControl w:val="0"/>
              <w:spacing w:line="276" w:lineRule="auto"/>
              <w:ind w:left="100" w:right="10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Rede Cozinha Cidadã - RCC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​</w:t>
            </w:r>
          </w:p>
          <w:p w:rsidR="00000000" w:rsidDel="00000000" w:rsidP="00000000" w:rsidRDefault="00000000" w:rsidRPr="00000000" w14:paraId="00000083">
            <w:pPr>
              <w:widowControl w:val="0"/>
              <w:spacing w:line="276" w:lineRule="auto"/>
              <w:ind w:left="100" w:right="10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(44 pontos – 1.886.360 pessoas atendidas)​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b7b7b7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R$ 67.000.000,00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b7b7b7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R$ 55.789.667,70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b7b7b7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R$ 55.789.667,70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b7b7b7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R$ 32.875.471,80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b7b7b7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R$ 17.661.719,20</w:t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b7b7b7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widowControl w:val="0"/>
              <w:spacing w:line="276" w:lineRule="auto"/>
              <w:ind w:left="100" w:right="10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Cidade Solidária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​</w:t>
            </w:r>
          </w:p>
          <w:p w:rsidR="00000000" w:rsidDel="00000000" w:rsidP="00000000" w:rsidRDefault="00000000" w:rsidRPr="00000000" w14:paraId="0000008A">
            <w:pPr>
              <w:widowControl w:val="0"/>
              <w:spacing w:line="276" w:lineRule="auto"/>
              <w:ind w:left="100" w:right="10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(419.496 famílias atendidas)​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b7b7b7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R$ 69.000.000,00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b7b7b7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R$ 66.009.895,20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b7b7b7" w:val="clear"/>
            <w:tcMar>
              <w:top w:w="80.0" w:type="dxa"/>
              <w:left w:w="140.0" w:type="dxa"/>
              <w:bottom w:w="8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R$ 66.009.895,20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b7b7b7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R$ 66.009.870,95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b7b7b7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R$ 19.626.529,57</w:t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b7b7b7" w:val="clear"/>
            <w:tcMar>
              <w:top w:w="80.0" w:type="dxa"/>
              <w:left w:w="140.0" w:type="dxa"/>
              <w:bottom w:w="8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Total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b7b7b7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R$   319.840.175,00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b7b7b7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R$ 293.687.866,65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b7b7b7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R$ 281.107.166,45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b7b7b7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R$ 244.941.842,38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b7b7b7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R$ 107.749.034,71</w:t>
            </w:r>
          </w:p>
        </w:tc>
      </w:tr>
    </w:tbl>
    <w:p w:rsidR="00000000" w:rsidDel="00000000" w:rsidP="00000000" w:rsidRDefault="00000000" w:rsidRPr="00000000" w14:paraId="00000096">
      <w:pPr>
        <w:widowControl w:val="0"/>
        <w:spacing w:after="200"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28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420"/>
      </w:tblPr>
      <w:tblGrid>
        <w:gridCol w:w="2055"/>
        <w:gridCol w:w="2205"/>
        <w:gridCol w:w="2655"/>
        <w:gridCol w:w="2370"/>
        <w:tblGridChange w:id="0">
          <w:tblGrid>
            <w:gridCol w:w="2055"/>
            <w:gridCol w:w="2205"/>
            <w:gridCol w:w="2655"/>
            <w:gridCol w:w="2370"/>
          </w:tblGrid>
        </w:tblGridChange>
      </w:tblGrid>
      <w:tr>
        <w:trPr>
          <w:cantSplit w:val="0"/>
          <w:trHeight w:val="212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999999" w:val="clear"/>
            <w:tcMar>
              <w:top w:w="80.0" w:type="dxa"/>
              <w:left w:w="140.0" w:type="dxa"/>
              <w:bottom w:w="8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Previsão 2025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999999" w:val="clear"/>
            <w:tcMar>
              <w:top w:w="80.0" w:type="dxa"/>
              <w:left w:w="140.0" w:type="dxa"/>
              <w:bottom w:w="8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Necessidade Contratos 2024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999999" w:val="clear"/>
            <w:tcMar>
              <w:top w:w="80.0" w:type="dxa"/>
              <w:left w:w="140.0" w:type="dxa"/>
              <w:bottom w:w="8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Envio da PMSP para CMSP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999999" w:val="clear"/>
            <w:tcMar>
              <w:top w:w="80.0" w:type="dxa"/>
              <w:left w:w="140.0" w:type="dxa"/>
              <w:bottom w:w="8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Pressão prevista</w:t>
            </w:r>
          </w:p>
        </w:tc>
      </w:tr>
      <w:tr>
        <w:trPr>
          <w:cantSplit w:val="0"/>
          <w:trHeight w:val="162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b7b7b7" w:val="clear"/>
            <w:tcMar>
              <w:top w:w="80.0" w:type="dxa"/>
              <w:left w:w="140.0" w:type="dxa"/>
              <w:bottom w:w="8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R$ 540.573.021,21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b7b7b7" w:val="clear"/>
            <w:tcMar>
              <w:top w:w="80.0" w:type="dxa"/>
              <w:left w:w="140.0" w:type="dxa"/>
              <w:bottom w:w="8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R$ 471.202.706,71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b7b7b7" w:val="clear"/>
            <w:tcMar>
              <w:top w:w="80.0" w:type="dxa"/>
              <w:left w:w="140.0" w:type="dxa"/>
              <w:bottom w:w="8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R$ 319.840.175,00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b7b7b7" w:val="clear"/>
            <w:tcMar>
              <w:top w:w="80.0" w:type="dxa"/>
              <w:left w:w="140.0" w:type="dxa"/>
              <w:bottom w:w="8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R$ 220.732.846,00</w:t>
            </w:r>
          </w:p>
        </w:tc>
      </w:tr>
    </w:tbl>
    <w:p w:rsidR="00000000" w:rsidDel="00000000" w:rsidP="00000000" w:rsidRDefault="00000000" w:rsidRPr="00000000" w14:paraId="000000A0">
      <w:pPr>
        <w:widowControl w:val="0"/>
        <w:spacing w:after="200"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widowControl w:val="0"/>
        <w:spacing w:after="200"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Os membros do Comitê Executivo também emitiram as seguintes deliberações:</w:t>
      </w:r>
    </w:p>
    <w:p w:rsidR="00000000" w:rsidDel="00000000" w:rsidP="00000000" w:rsidRDefault="00000000" w:rsidRPr="00000000" w14:paraId="000000A2">
      <w:pPr>
        <w:widowControl w:val="0"/>
        <w:spacing w:after="20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Aprovação do extrato de ata da Nona Reunião Ordinária do Comitê Executivo;</w:t>
      </w:r>
    </w:p>
    <w:p w:rsidR="00000000" w:rsidDel="00000000" w:rsidP="00000000" w:rsidRDefault="00000000" w:rsidRPr="00000000" w14:paraId="000000A3">
      <w:pPr>
        <w:widowControl w:val="0"/>
        <w:spacing w:after="200"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Resultados e atualizações dos Programas financiados pelo FAASP até 15/05/2025.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pacing w:after="120" w:before="120" w:lineRule="auto"/>
        <w:ind w:right="120"/>
        <w:jc w:val="both"/>
        <w:rPr>
          <w:rFonts w:ascii="Calibri" w:cs="Calibri" w:eastAsia="Calibri" w:hAnsi="Calibri"/>
          <w:b w:val="1"/>
          <w:shd w:fill="f4cccc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spacing w:after="120" w:before="120" w:lineRule="auto"/>
        <w:ind w:right="12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(iv) Outros informes e pontos de pauta discutidos:</w:t>
      </w:r>
    </w:p>
    <w:p w:rsidR="00000000" w:rsidDel="00000000" w:rsidP="00000000" w:rsidRDefault="00000000" w:rsidRPr="00000000" w14:paraId="000000A6">
      <w:pPr>
        <w:spacing w:after="120" w:before="120" w:lineRule="auto"/>
        <w:ind w:right="1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(iv.1)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Apresentação do Alimentômetro, com número de refeições no primeiro quadrimestre de 2025 superior a 5 milhões; </w:t>
      </w:r>
    </w:p>
    <w:p w:rsidR="00000000" w:rsidDel="00000000" w:rsidP="00000000" w:rsidRDefault="00000000" w:rsidRPr="00000000" w14:paraId="000000A7">
      <w:pPr>
        <w:spacing w:after="120" w:before="120" w:lineRule="auto"/>
        <w:ind w:right="1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(iv.2)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Cidade Solidária: estudo de composição de cestas básicas para Povos Indígenas. Iniciativa em elaboração. COPIND está cadastrando os beneficiários para estimar número de cestas necessários e, então seguirá para o processo de compra;</w:t>
      </w:r>
    </w:p>
    <w:p w:rsidR="00000000" w:rsidDel="00000000" w:rsidP="00000000" w:rsidRDefault="00000000" w:rsidRPr="00000000" w14:paraId="000000A8">
      <w:pPr>
        <w:spacing w:after="120" w:before="120" w:lineRule="auto"/>
        <w:ind w:right="1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(iv.3)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Rede Cozinha Cidadã: Novo edital em execução desde setembro; Aumento do valor da refeição para R$ 15,00 e ciclos de contratação de 6 meses; Edital de Credenciamento nº 001/SMDHC/2024, de 17 de setembro de 2024: Vigência do 1º ciclo: 19/11/2024 a 17/05/2025; Vigência do 2º ciclo: 18/05/2025 a 13/11/2025;</w:t>
      </w:r>
    </w:p>
    <w:p w:rsidR="00000000" w:rsidDel="00000000" w:rsidP="00000000" w:rsidRDefault="00000000" w:rsidRPr="00000000" w14:paraId="000000A9">
      <w:pPr>
        <w:spacing w:after="120" w:before="120" w:lineRule="auto"/>
        <w:ind w:right="1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(iv.4)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Publicação da Portaria Conjunta com a Secretaria Municipal de Inovação e Tecnologia - SMIT para o fornecimento de Wi-fi Livre os programas de SESANA;</w:t>
      </w:r>
    </w:p>
    <w:p w:rsidR="00000000" w:rsidDel="00000000" w:rsidP="00000000" w:rsidRDefault="00000000" w:rsidRPr="00000000" w14:paraId="000000AA">
      <w:pPr>
        <w:spacing w:after="120" w:before="120" w:lineRule="auto"/>
        <w:ind w:right="1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(iv.5)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Rede Cozinha Escola: 57 contratos renovados por 12 meses + 8 renovados por 3 meses. Serão realizadas visitas técnicas em todas as unidades para verificação do funcionamento, limpeza e conformidade com o Edital;</w:t>
      </w:r>
    </w:p>
    <w:p w:rsidR="00000000" w:rsidDel="00000000" w:rsidP="00000000" w:rsidRDefault="00000000" w:rsidRPr="00000000" w14:paraId="000000AB">
      <w:pPr>
        <w:spacing w:after="120" w:before="120" w:lineRule="auto"/>
        <w:ind w:right="1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(iv.6)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Armazém Solidário: seis unidades inauguradas (São Miguel, City Jaraguá, Jaraguá, Guaianases, Estrada do Sabão/Brasilândia e Cidade Tiradentes) e previsão de mais uma para 2025 (M’boi Mirim). Relatório | Período 01/01/2025 - 15/05/2025: Quantidade de compras nos armazéns: 353.372. Total de vendas: R$ 28.570.743,74. Média do valor das vendas: R$80,85. Clientes únicos: 63.445</w:t>
      </w:r>
    </w:p>
    <w:p w:rsidR="00000000" w:rsidDel="00000000" w:rsidP="00000000" w:rsidRDefault="00000000" w:rsidRPr="00000000" w14:paraId="000000AC">
      <w:pPr>
        <w:spacing w:after="120" w:before="120" w:lineRule="auto"/>
        <w:ind w:right="1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(iv.7)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Modernização do Banco de Alimentos: Edital de chamamento público MDS/SESAN Nº 1/2024; R$ 160 mil contrapartida – FAASP;</w:t>
      </w:r>
    </w:p>
    <w:p w:rsidR="00000000" w:rsidDel="00000000" w:rsidP="00000000" w:rsidRDefault="00000000" w:rsidRPr="00000000" w14:paraId="000000AD">
      <w:pPr>
        <w:spacing w:after="120" w:before="120" w:lineRule="auto"/>
        <w:ind w:right="1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(iv.8)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Adesão ao Programa de Aquisição de Alimentos (PAA - MDS): Adesão realizada em 22/05/2024. Limite Financeiro para a cidade de São Paulo: R$ 1.088.523,84. 134 Agricultores Habilitados em Chamada Pública e 93 Agricultores Contemplados. Perfil dos agricultores Contemplados: Mulheres, Assentados da Reforma Agrária, Quilombolas e Produtores de Orgânicos </w:t>
      </w:r>
    </w:p>
    <w:p w:rsidR="00000000" w:rsidDel="00000000" w:rsidP="00000000" w:rsidRDefault="00000000" w:rsidRPr="00000000" w14:paraId="000000AE">
      <w:pPr>
        <w:spacing w:after="120" w:before="120" w:lineRule="auto"/>
        <w:ind w:right="1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(iv.9)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Informe sobre Projetos Cooperação Técnica Internacional - 2025: C40 Cities - participação no grupo de trabalho que desenvolverá o Pathway Towards Good Food Cities: Compromisso focado em segurança alimentar e nutricional e na construção de economias alimentares urbanas resilientes, voltado para cidades do Sul Global. Milan Pact Awards 2025 (MPA): Inscrição do Rede Cozinha Escola para premiação internacional oferecida pelo Pacto de Milão para Políticas Alimentares Urbanas (MUFPP) que reconhece práticas inovadoras no tema. UNOSSC (United Nations Office for South-South Cooperation): Convite para candidatura de boas práticas em cooperação Sul-Sul e triangular para o desenvolvimento sustentável. </w:t>
      </w:r>
    </w:p>
    <w:p w:rsidR="00000000" w:rsidDel="00000000" w:rsidP="00000000" w:rsidRDefault="00000000" w:rsidRPr="00000000" w14:paraId="000000AF">
      <w:pPr>
        <w:spacing w:after="120" w:before="120" w:lineRule="auto"/>
        <w:ind w:right="1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spacing w:after="120" w:before="120" w:lineRule="auto"/>
        <w:ind w:right="1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Nada mais havendo a tratar, a Décima Reunião Ordinária do Comitê Executivo do FAASP foi encerrada às </w:t>
      </w:r>
      <w:r w:rsidDel="00000000" w:rsidR="00000000" w:rsidRPr="00000000">
        <w:rPr>
          <w:rFonts w:ascii="Calibri" w:cs="Calibri" w:eastAsia="Calibri" w:hAnsi="Calibri"/>
          <w:u w:val="none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6</w:t>
      </w:r>
      <w:r w:rsidDel="00000000" w:rsidR="00000000" w:rsidRPr="00000000">
        <w:rPr>
          <w:rFonts w:ascii="Calibri" w:cs="Calibri" w:eastAsia="Calibri" w:hAnsi="Calibri"/>
          <w:u w:val="none"/>
          <w:rtl w:val="0"/>
        </w:rPr>
        <w:t xml:space="preserve">h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10</w:t>
      </w:r>
      <w:r w:rsidDel="00000000" w:rsidR="00000000" w:rsidRPr="00000000">
        <w:rPr>
          <w:rFonts w:ascii="Calibri" w:cs="Calibri" w:eastAsia="Calibri" w:hAnsi="Calibri"/>
          <w:u w:val="none"/>
          <w:rtl w:val="0"/>
        </w:rPr>
        <w:t xml:space="preserve">.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Após aprovação na reunião subsequente e assinatura pela Presidente do Comitê Executivo, o presente Extrato de Ata será publicado no Diário Oficial da Cidade de São Paulo, bem como será disponibilizado no sítio eletrônico da SMDHC.</w:t>
      </w:r>
    </w:p>
    <w:p w:rsidR="00000000" w:rsidDel="00000000" w:rsidP="00000000" w:rsidRDefault="00000000" w:rsidRPr="00000000" w14:paraId="000000B1">
      <w:pPr>
        <w:ind w:left="-141" w:right="6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B2">
      <w:pPr>
        <w:ind w:left="-141" w:right="60" w:firstLine="0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ind w:left="60" w:right="60" w:firstLine="0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Regina Célia da Silveira Santana</w:t>
      </w:r>
    </w:p>
    <w:p w:rsidR="00000000" w:rsidDel="00000000" w:rsidP="00000000" w:rsidRDefault="00000000" w:rsidRPr="00000000" w14:paraId="000000B4">
      <w:pPr>
        <w:ind w:left="60" w:right="60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Presidente do Comitê Executivo do FAASP</w:t>
      </w:r>
    </w:p>
    <w:p w:rsidR="00000000" w:rsidDel="00000000" w:rsidP="00000000" w:rsidRDefault="00000000" w:rsidRPr="00000000" w14:paraId="000000B5">
      <w:pPr>
        <w:ind w:left="60" w:right="60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Secretaria Municipal de Direitos Humanos e Cidadania (SMDHC)</w:t>
      </w:r>
    </w:p>
    <w:p w:rsidR="00000000" w:rsidDel="00000000" w:rsidP="00000000" w:rsidRDefault="00000000" w:rsidRPr="00000000" w14:paraId="000000B6">
      <w:pPr>
        <w:ind w:left="60" w:right="60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B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9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rPr>
      <w:color w:val="000000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rPr>
        <w:b w:val="0"/>
        <w:i w:val="0"/>
      </w:rPr>
    </w:tblStylePr>
    <w:tblStylePr w:type="band1Vert">
      <w:rPr>
        <w:b w:val="0"/>
        <w:i w:val="0"/>
      </w:rPr>
    </w:tblStylePr>
    <w:tblStylePr w:type="band2Horz">
      <w:rPr>
        <w:b w:val="0"/>
        <w:i w:val="0"/>
      </w:rPr>
    </w:tblStylePr>
    <w:tblStylePr w:type="band2Vert">
      <w:rPr>
        <w:b w:val="0"/>
        <w:i w:val="0"/>
      </w:rPr>
    </w:tblStylePr>
    <w:tblStylePr w:type="firstCol">
      <w:rPr>
        <w:b w:val="0"/>
        <w:i w:val="0"/>
      </w:rPr>
    </w:tblStylePr>
    <w:tblStylePr w:type="firstRow">
      <w:rPr>
        <w:b w:val="0"/>
        <w:i w:val="0"/>
      </w:rPr>
    </w:tblStylePr>
    <w:tblStylePr w:type="lastCol">
      <w:rPr>
        <w:b w:val="0"/>
        <w:i w:val="0"/>
      </w:rPr>
    </w:tblStylePr>
    <w:tblStylePr w:type="lastRow">
      <w:rPr>
        <w:b w:val="0"/>
        <w:i w:val="0"/>
      </w:rPr>
    </w:tblStylePr>
    <w:tblStylePr w:type="neCell">
      <w:rPr>
        <w:b w:val="0"/>
        <w:i w:val="0"/>
      </w:rPr>
    </w:tblStylePr>
    <w:tblStylePr w:type="nwCell">
      <w:rPr>
        <w:b w:val="0"/>
        <w:i w:val="0"/>
      </w:rPr>
    </w:tblStylePr>
    <w:tblStylePr w:type="seCell">
      <w:rPr>
        <w:b w:val="0"/>
        <w:i w:val="0"/>
      </w:rPr>
    </w:tblStylePr>
    <w:tblStylePr w:type="swCell">
      <w:rPr>
        <w:b w:val="0"/>
        <w:i w:val="0"/>
      </w:rPr>
    </w:tblStylePr>
  </w:style>
  <w:style w:type="table" w:styleId="Table2">
    <w:basedOn w:val="TableNormal"/>
    <w:rPr>
      <w:rFonts w:ascii="Arial" w:cs="Arial" w:eastAsia="Arial" w:hAnsi="Arial"/>
      <w:b w:val="0"/>
      <w:i w:val="0"/>
      <w:color w:val="000000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rPr>
        <w:b w:val="0"/>
        <w:i w:val="0"/>
      </w:rPr>
    </w:tblStylePr>
    <w:tblStylePr w:type="band1Vert">
      <w:rPr>
        <w:b w:val="0"/>
        <w:i w:val="0"/>
      </w:rPr>
    </w:tblStylePr>
    <w:tblStylePr w:type="band2Horz">
      <w:rPr>
        <w:b w:val="0"/>
        <w:i w:val="0"/>
      </w:rPr>
    </w:tblStylePr>
    <w:tblStylePr w:type="band2Vert">
      <w:rPr>
        <w:b w:val="0"/>
        <w:i w:val="0"/>
      </w:rPr>
    </w:tblStylePr>
    <w:tblStylePr w:type="firstCol">
      <w:rPr>
        <w:b w:val="0"/>
        <w:i w:val="0"/>
      </w:rPr>
    </w:tblStylePr>
    <w:tblStylePr w:type="firstRow">
      <w:rPr>
        <w:b w:val="0"/>
        <w:i w:val="0"/>
      </w:rPr>
    </w:tblStylePr>
    <w:tblStylePr w:type="lastCol">
      <w:rPr>
        <w:b w:val="0"/>
        <w:i w:val="0"/>
      </w:rPr>
    </w:tblStylePr>
    <w:tblStylePr w:type="lastRow">
      <w:rPr>
        <w:b w:val="0"/>
        <w:i w:val="0"/>
      </w:rPr>
    </w:tblStylePr>
    <w:tblStylePr w:type="neCell">
      <w:rPr>
        <w:b w:val="0"/>
        <w:i w:val="0"/>
      </w:rPr>
    </w:tblStylePr>
    <w:tblStylePr w:type="nwCell">
      <w:rPr>
        <w:b w:val="0"/>
        <w:i w:val="0"/>
      </w:rPr>
    </w:tblStylePr>
    <w:tblStylePr w:type="seCell">
      <w:rPr>
        <w:b w:val="0"/>
        <w:i w:val="0"/>
      </w:rPr>
    </w:tblStylePr>
    <w:tblStylePr w:type="swCell">
      <w:rPr>
        <w:b w:val="0"/>
        <w:i w:val="0"/>
      </w:rPr>
    </w:tblStylePr>
  </w:style>
  <w:style w:type="table" w:styleId="Table3">
    <w:basedOn w:val="TableNormal"/>
    <w:pPr/>
    <w:rPr>
      <w:rFonts w:ascii="Arial" w:cs="Arial" w:eastAsia="Arial" w:hAnsi="Arial"/>
      <w:b w:val="0"/>
      <w:i w:val="0"/>
      <w:color w:val="000000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pPr/>
      <w:rPr>
        <w:b w:val="0"/>
        <w:i w:val="0"/>
      </w:rPr>
      <w:tcPr/>
    </w:tblStylePr>
    <w:tblStylePr w:type="band1Vert">
      <w:pPr/>
      <w:rPr>
        <w:b w:val="0"/>
        <w:i w:val="0"/>
      </w:rPr>
      <w:tcPr/>
    </w:tblStylePr>
    <w:tblStylePr w:type="band2Horz">
      <w:pPr/>
      <w:rPr>
        <w:b w:val="0"/>
        <w:i w:val="0"/>
      </w:rPr>
      <w:tcPr/>
    </w:tblStylePr>
    <w:tblStylePr w:type="band2Vert">
      <w:pPr/>
      <w:rPr>
        <w:b w:val="0"/>
        <w:i w:val="0"/>
      </w:rPr>
      <w:tcPr/>
    </w:tblStylePr>
    <w:tblStylePr w:type="firstCol">
      <w:pPr/>
      <w:rPr>
        <w:b w:val="0"/>
        <w:i w:val="0"/>
      </w:rPr>
      <w:tcPr/>
    </w:tblStylePr>
    <w:tblStylePr w:type="firstRow">
      <w:pPr/>
      <w:rPr>
        <w:b w:val="0"/>
        <w:i w:val="0"/>
      </w:rPr>
      <w:tcPr/>
    </w:tblStylePr>
    <w:tblStylePr w:type="lastCol">
      <w:pPr/>
      <w:rPr>
        <w:b w:val="0"/>
        <w:i w:val="0"/>
      </w:rPr>
      <w:tcPr/>
    </w:tblStylePr>
    <w:tblStylePr w:type="lastRow">
      <w:pPr/>
      <w:rPr>
        <w:b w:val="0"/>
        <w:i w:val="0"/>
      </w:rPr>
      <w:tcPr/>
    </w:tblStylePr>
    <w:tblStylePr w:type="neCell">
      <w:pPr/>
      <w:rPr>
        <w:b w:val="0"/>
        <w:i w:val="0"/>
      </w:rPr>
      <w:tcPr/>
    </w:tblStylePr>
    <w:tblStylePr w:type="nwCell">
      <w:pPr/>
      <w:rPr>
        <w:b w:val="0"/>
        <w:i w:val="0"/>
      </w:rPr>
      <w:tcPr/>
    </w:tblStylePr>
    <w:tblStylePr w:type="seCell">
      <w:pPr/>
      <w:rPr>
        <w:b w:val="0"/>
        <w:i w:val="0"/>
      </w:rPr>
      <w:tcPr/>
    </w:tblStylePr>
    <w:tblStylePr w:type="swCell">
      <w:pPr/>
      <w:rPr>
        <w:b w:val="0"/>
        <w:i w:val="0"/>
      </w:rPr>
      <w:tcPr/>
    </w:tblStylePr>
  </w:style>
  <w:style w:type="table" w:styleId="Table4">
    <w:basedOn w:val="TableNormal"/>
    <w:pPr/>
    <w:rPr>
      <w:rFonts w:ascii="Arial" w:cs="Arial" w:eastAsia="Arial" w:hAnsi="Arial"/>
      <w:b w:val="0"/>
      <w:i w:val="0"/>
      <w:color w:val="000000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pPr/>
      <w:rPr>
        <w:b w:val="0"/>
        <w:i w:val="0"/>
      </w:rPr>
      <w:tcPr/>
    </w:tblStylePr>
    <w:tblStylePr w:type="band1Vert">
      <w:pPr/>
      <w:rPr>
        <w:b w:val="0"/>
        <w:i w:val="0"/>
      </w:rPr>
      <w:tcPr/>
    </w:tblStylePr>
    <w:tblStylePr w:type="band2Horz">
      <w:pPr/>
      <w:rPr>
        <w:b w:val="0"/>
        <w:i w:val="0"/>
      </w:rPr>
      <w:tcPr/>
    </w:tblStylePr>
    <w:tblStylePr w:type="band2Vert">
      <w:pPr/>
      <w:rPr>
        <w:b w:val="0"/>
        <w:i w:val="0"/>
      </w:rPr>
      <w:tcPr/>
    </w:tblStylePr>
    <w:tblStylePr w:type="firstCol">
      <w:pPr/>
      <w:rPr>
        <w:b w:val="0"/>
        <w:i w:val="0"/>
      </w:rPr>
      <w:tcPr/>
    </w:tblStylePr>
    <w:tblStylePr w:type="firstRow">
      <w:pPr/>
      <w:rPr>
        <w:b w:val="0"/>
        <w:i w:val="0"/>
      </w:rPr>
      <w:tcPr/>
    </w:tblStylePr>
    <w:tblStylePr w:type="lastCol">
      <w:pPr/>
      <w:rPr>
        <w:b w:val="0"/>
        <w:i w:val="0"/>
      </w:rPr>
      <w:tcPr/>
    </w:tblStylePr>
    <w:tblStylePr w:type="lastRow">
      <w:pPr/>
      <w:rPr>
        <w:b w:val="0"/>
        <w:i w:val="0"/>
      </w:rPr>
      <w:tcPr/>
    </w:tblStylePr>
    <w:tblStylePr w:type="neCell">
      <w:pPr/>
      <w:rPr>
        <w:b w:val="0"/>
        <w:i w:val="0"/>
      </w:rPr>
      <w:tcPr/>
    </w:tblStylePr>
    <w:tblStylePr w:type="nwCell">
      <w:pPr/>
      <w:rPr>
        <w:b w:val="0"/>
        <w:i w:val="0"/>
      </w:rPr>
      <w:tcPr/>
    </w:tblStylePr>
    <w:tblStylePr w:type="seCell">
      <w:pPr/>
      <w:rPr>
        <w:b w:val="0"/>
        <w:i w:val="0"/>
      </w:rPr>
      <w:tcPr/>
    </w:tblStylePr>
    <w:tblStylePr w:type="swCell">
      <w:pPr/>
      <w:rPr>
        <w:b w:val="0"/>
        <w:i w:val="0"/>
      </w:rPr>
      <w:tcPr/>
    </w:tblStyle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rPr>
      <w:color w:val="000000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rPr>
        <w:b w:val="0"/>
        <w:i w:val="0"/>
      </w:rPr>
    </w:tblStylePr>
    <w:tblStylePr w:type="band1Vert">
      <w:rPr>
        <w:b w:val="0"/>
        <w:i w:val="0"/>
      </w:rPr>
    </w:tblStylePr>
    <w:tblStylePr w:type="band2Horz">
      <w:rPr>
        <w:b w:val="0"/>
        <w:i w:val="0"/>
      </w:rPr>
    </w:tblStylePr>
    <w:tblStylePr w:type="band2Vert">
      <w:rPr>
        <w:b w:val="0"/>
        <w:i w:val="0"/>
      </w:rPr>
    </w:tblStylePr>
    <w:tblStylePr w:type="firstCol">
      <w:rPr>
        <w:b w:val="0"/>
        <w:i w:val="0"/>
      </w:rPr>
    </w:tblStylePr>
    <w:tblStylePr w:type="firstRow">
      <w:rPr>
        <w:b w:val="0"/>
        <w:i w:val="0"/>
      </w:rPr>
    </w:tblStylePr>
    <w:tblStylePr w:type="lastCol">
      <w:rPr>
        <w:b w:val="0"/>
        <w:i w:val="0"/>
      </w:rPr>
    </w:tblStylePr>
    <w:tblStylePr w:type="lastRow">
      <w:rPr>
        <w:b w:val="0"/>
        <w:i w:val="0"/>
      </w:rPr>
    </w:tblStylePr>
    <w:tblStylePr w:type="neCell">
      <w:rPr>
        <w:b w:val="0"/>
        <w:i w:val="0"/>
      </w:rPr>
    </w:tblStylePr>
    <w:tblStylePr w:type="nwCell">
      <w:rPr>
        <w:b w:val="0"/>
        <w:i w:val="0"/>
      </w:rPr>
    </w:tblStylePr>
    <w:tblStylePr w:type="seCell">
      <w:rPr>
        <w:b w:val="0"/>
        <w:i w:val="0"/>
      </w:rPr>
    </w:tblStylePr>
    <w:tblStylePr w:type="swCell">
      <w:rPr>
        <w:b w:val="0"/>
        <w:i w:val="0"/>
      </w:rPr>
    </w:tblStylePr>
  </w:style>
  <w:style w:type="table" w:styleId="Table2">
    <w:basedOn w:val="TableNormal"/>
    <w:rPr>
      <w:rFonts w:ascii="Arial" w:cs="Arial" w:eastAsia="Arial" w:hAnsi="Arial"/>
      <w:b w:val="0"/>
      <w:i w:val="0"/>
      <w:color w:val="000000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rPr>
        <w:b w:val="0"/>
        <w:i w:val="0"/>
      </w:rPr>
    </w:tblStylePr>
    <w:tblStylePr w:type="band1Vert">
      <w:rPr>
        <w:b w:val="0"/>
        <w:i w:val="0"/>
      </w:rPr>
    </w:tblStylePr>
    <w:tblStylePr w:type="band2Horz">
      <w:rPr>
        <w:b w:val="0"/>
        <w:i w:val="0"/>
      </w:rPr>
    </w:tblStylePr>
    <w:tblStylePr w:type="band2Vert">
      <w:rPr>
        <w:b w:val="0"/>
        <w:i w:val="0"/>
      </w:rPr>
    </w:tblStylePr>
    <w:tblStylePr w:type="firstCol">
      <w:rPr>
        <w:b w:val="0"/>
        <w:i w:val="0"/>
      </w:rPr>
    </w:tblStylePr>
    <w:tblStylePr w:type="firstRow">
      <w:rPr>
        <w:b w:val="0"/>
        <w:i w:val="0"/>
      </w:rPr>
    </w:tblStylePr>
    <w:tblStylePr w:type="lastCol">
      <w:rPr>
        <w:b w:val="0"/>
        <w:i w:val="0"/>
      </w:rPr>
    </w:tblStylePr>
    <w:tblStylePr w:type="lastRow">
      <w:rPr>
        <w:b w:val="0"/>
        <w:i w:val="0"/>
      </w:rPr>
    </w:tblStylePr>
    <w:tblStylePr w:type="neCell">
      <w:rPr>
        <w:b w:val="0"/>
        <w:i w:val="0"/>
      </w:rPr>
    </w:tblStylePr>
    <w:tblStylePr w:type="nwCell">
      <w:rPr>
        <w:b w:val="0"/>
        <w:i w:val="0"/>
      </w:rPr>
    </w:tblStylePr>
    <w:tblStylePr w:type="seCell">
      <w:rPr>
        <w:b w:val="0"/>
        <w:i w:val="0"/>
      </w:rPr>
    </w:tblStylePr>
    <w:tblStylePr w:type="swCell">
      <w:rPr>
        <w:b w:val="0"/>
        <w:i w:val="0"/>
      </w:rPr>
    </w:tblStylePr>
  </w:style>
  <w:style w:type="table" w:styleId="Table3">
    <w:basedOn w:val="TableNormal"/>
    <w:rPr>
      <w:rFonts w:ascii="Arial" w:cs="Arial" w:eastAsia="Arial" w:hAnsi="Arial"/>
      <w:b w:val="0"/>
      <w:i w:val="0"/>
      <w:color w:val="000000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rPr>
        <w:b w:val="0"/>
        <w:i w:val="0"/>
      </w:rPr>
    </w:tblStylePr>
    <w:tblStylePr w:type="band1Vert">
      <w:rPr>
        <w:b w:val="0"/>
        <w:i w:val="0"/>
      </w:rPr>
    </w:tblStylePr>
    <w:tblStylePr w:type="band2Horz">
      <w:rPr>
        <w:b w:val="0"/>
        <w:i w:val="0"/>
      </w:rPr>
    </w:tblStylePr>
    <w:tblStylePr w:type="band2Vert">
      <w:rPr>
        <w:b w:val="0"/>
        <w:i w:val="0"/>
      </w:rPr>
    </w:tblStylePr>
    <w:tblStylePr w:type="firstCol">
      <w:rPr>
        <w:b w:val="0"/>
        <w:i w:val="0"/>
      </w:rPr>
    </w:tblStylePr>
    <w:tblStylePr w:type="firstRow">
      <w:rPr>
        <w:b w:val="0"/>
        <w:i w:val="0"/>
      </w:rPr>
    </w:tblStylePr>
    <w:tblStylePr w:type="lastCol">
      <w:rPr>
        <w:b w:val="0"/>
        <w:i w:val="0"/>
      </w:rPr>
    </w:tblStylePr>
    <w:tblStylePr w:type="lastRow">
      <w:rPr>
        <w:b w:val="0"/>
        <w:i w:val="0"/>
      </w:rPr>
    </w:tblStylePr>
    <w:tblStylePr w:type="neCell">
      <w:rPr>
        <w:b w:val="0"/>
        <w:i w:val="0"/>
      </w:rPr>
    </w:tblStylePr>
    <w:tblStylePr w:type="nwCell">
      <w:rPr>
        <w:b w:val="0"/>
        <w:i w:val="0"/>
      </w:rPr>
    </w:tblStylePr>
    <w:tblStylePr w:type="seCell">
      <w:rPr>
        <w:b w:val="0"/>
        <w:i w:val="0"/>
      </w:rPr>
    </w:tblStylePr>
    <w:tblStylePr w:type="swCell">
      <w:rPr>
        <w:b w:val="0"/>
        <w:i w:val="0"/>
      </w:rPr>
    </w:tblStylePr>
  </w:style>
  <w:style w:type="table" w:styleId="Table4">
    <w:basedOn w:val="TableNormal"/>
    <w:rPr>
      <w:rFonts w:ascii="Arial" w:cs="Arial" w:eastAsia="Arial" w:hAnsi="Arial"/>
      <w:b w:val="0"/>
      <w:i w:val="0"/>
      <w:color w:val="000000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rPr>
        <w:b w:val="0"/>
        <w:i w:val="0"/>
      </w:rPr>
    </w:tblStylePr>
    <w:tblStylePr w:type="band1Vert">
      <w:rPr>
        <w:b w:val="0"/>
        <w:i w:val="0"/>
      </w:rPr>
    </w:tblStylePr>
    <w:tblStylePr w:type="band2Horz">
      <w:rPr>
        <w:b w:val="0"/>
        <w:i w:val="0"/>
      </w:rPr>
    </w:tblStylePr>
    <w:tblStylePr w:type="band2Vert">
      <w:rPr>
        <w:b w:val="0"/>
        <w:i w:val="0"/>
      </w:rPr>
    </w:tblStylePr>
    <w:tblStylePr w:type="firstCol">
      <w:rPr>
        <w:b w:val="0"/>
        <w:i w:val="0"/>
      </w:rPr>
    </w:tblStylePr>
    <w:tblStylePr w:type="firstRow">
      <w:rPr>
        <w:b w:val="0"/>
        <w:i w:val="0"/>
      </w:rPr>
    </w:tblStylePr>
    <w:tblStylePr w:type="lastCol">
      <w:rPr>
        <w:b w:val="0"/>
        <w:i w:val="0"/>
      </w:rPr>
    </w:tblStylePr>
    <w:tblStylePr w:type="lastRow">
      <w:rPr>
        <w:b w:val="0"/>
        <w:i w:val="0"/>
      </w:rPr>
    </w:tblStylePr>
    <w:tblStylePr w:type="neCell">
      <w:rPr>
        <w:b w:val="0"/>
        <w:i w:val="0"/>
      </w:rPr>
    </w:tblStylePr>
    <w:tblStylePr w:type="nwCell">
      <w:rPr>
        <w:b w:val="0"/>
        <w:i w:val="0"/>
      </w:rPr>
    </w:tblStylePr>
    <w:tblStylePr w:type="seCell">
      <w:rPr>
        <w:b w:val="0"/>
        <w:i w:val="0"/>
      </w:rPr>
    </w:tblStylePr>
    <w:tblStylePr w:type="swCell">
      <w:rPr>
        <w:b w:val="0"/>
        <w:i w:val="0"/>
      </w:rPr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d9WlBU/0utgBhDWCTtt3hwjH8A==">CgMxLjA4AHIhMUYtYVFGdHlCb0VneWtpT2hGNXl0ajljYk9INXJVMGhw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