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60" w:right="6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EXTRATO DE ATA - OITAVA REUNIÃO ORDINÁRIA DO COMITÊ EXECUTIVO DO FUNDO DE ABASTECIMENTO ALIMENTAR DE SÃO PAULO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FAASP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)</w:t>
      </w:r>
    </w:p>
    <w:p w:rsidR="00000000" w:rsidDel="00000000" w:rsidP="00000000" w:rsidRDefault="00000000" w:rsidRPr="00000000" w14:paraId="00000002">
      <w:pPr>
        <w:spacing w:line="276" w:lineRule="auto"/>
        <w:ind w:left="60" w:right="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6" w:lineRule="auto"/>
        <w:ind w:left="60" w:right="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 Comitê Executivo do Fundo de Abastecimento Alimentar de São Paulo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FAASP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), no uso das atribuições que lhes são conferidas pelo art. 10 e seguintes da Lei Municipal n.º 17.819, de 29 de junho de 2022, bem como pelo art. 5º do Decreto Municipal n.º 61.564, de 8 de julho de 2022, torna público o extrato de ata da sua Oitava Reunião Ordinária, realizada no dia 29 de agosto de 2024.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Ao vigésimo nono dia do mês de agosto de dois mil e vinte quatro, às 14h30, em reunião virtual realizada por meio da plataforma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Microsoft Teams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iniciou-se a Oitava Reunião Ordinária do Comitê Executivo 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FAASP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com a presença do quórum necessário à realização de deliberações (maioria simples de quatro membros).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Membros do Comitê Executivo presentes: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widowControl w:val="1"/>
        <w:numPr>
          <w:ilvl w:val="0"/>
          <w:numId w:val="2"/>
        </w:numPr>
        <w:spacing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Sra. Sonia Francine Gaspar Marmo, Secretária Municipal de Direitos Humanos e Cidadania (SMDHC) e Presidente do Comitê Executivo;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Sr. Aurélio Costa de Oliveira, Secretário Executivo de Segurança Alimentar e Nutricional e de Abastecimento (SMDHC/SESANA); </w:t>
      </w:r>
    </w:p>
    <w:p w:rsidR="00000000" w:rsidDel="00000000" w:rsidP="00000000" w:rsidRDefault="00000000" w:rsidRPr="00000000" w14:paraId="0000000A">
      <w:pPr>
        <w:keepNext w:val="1"/>
        <w:keepLines w:val="1"/>
        <w:widowControl w:val="1"/>
        <w:numPr>
          <w:ilvl w:val="0"/>
          <w:numId w:val="2"/>
        </w:numPr>
        <w:spacing w:before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Sra. Ester Ionecubo De Freitas, representando a Secretaria Municipal da Fazenda (SF);</w:t>
      </w:r>
    </w:p>
    <w:p w:rsidR="00000000" w:rsidDel="00000000" w:rsidP="00000000" w:rsidRDefault="00000000" w:rsidRPr="00000000" w14:paraId="0000000B">
      <w:pPr>
        <w:keepNext w:val="1"/>
        <w:keepLines w:val="1"/>
        <w:widowControl w:val="1"/>
        <w:numPr>
          <w:ilvl w:val="0"/>
          <w:numId w:val="2"/>
        </w:numPr>
        <w:spacing w:before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Sr. Luiz Gonzaga de Lima Neto, representando a Secretaria Municipal de Governo (SGM).</w:t>
      </w:r>
    </w:p>
    <w:p w:rsidR="00000000" w:rsidDel="00000000" w:rsidP="00000000" w:rsidRDefault="00000000" w:rsidRPr="00000000" w14:paraId="0000000C">
      <w:pPr>
        <w:keepNext w:val="1"/>
        <w:keepLines w:val="1"/>
        <w:widowControl w:val="1"/>
        <w:numPr>
          <w:ilvl w:val="0"/>
          <w:numId w:val="2"/>
        </w:numPr>
        <w:spacing w:before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Sra. Maira Cavalcanti Rocha, representando a Secretaria Municipal de Assistência e Desenvolvimento Social (SMADS);</w:t>
      </w:r>
    </w:p>
    <w:p w:rsidR="00000000" w:rsidDel="00000000" w:rsidP="00000000" w:rsidRDefault="00000000" w:rsidRPr="00000000" w14:paraId="0000000D">
      <w:pPr>
        <w:keepNext w:val="1"/>
        <w:keepLines w:val="1"/>
        <w:widowControl w:val="1"/>
        <w:spacing w:before="0"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widowControl w:val="1"/>
        <w:spacing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(ii) Execução dos recursos 2024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Dados de 27/08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20"/>
      </w:tblPr>
      <w:tblGrid>
        <w:gridCol w:w="4020"/>
        <w:gridCol w:w="2595"/>
        <w:gridCol w:w="2625"/>
        <w:tblGridChange w:id="0">
          <w:tblGrid>
            <w:gridCol w:w="4020"/>
            <w:gridCol w:w="2595"/>
            <w:gridCol w:w="262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 em relação ao atualizado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Orçamento inicial (LOA)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305.326.829,00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Valores congelados ago/24 -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 1.826.828,00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Suplementações +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26.363.568,27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Orçamento atualizado líquido: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329.863.569,27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Orçamento atualizado líquido: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329.863.569,27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Reservado: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328.530.930,03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99,60%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Empenhado: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324.164.990,89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98,27%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Liquidado: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257.320.286,32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78,01%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Ind w:w="-5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20"/>
      </w:tblPr>
      <w:tblGrid>
        <w:gridCol w:w="1620"/>
        <w:gridCol w:w="1725"/>
        <w:gridCol w:w="1470"/>
        <w:gridCol w:w="1605"/>
        <w:gridCol w:w="1560"/>
        <w:gridCol w:w="1545"/>
        <w:gridCol w:w="1245"/>
        <w:tblGridChange w:id="0">
          <w:tblGrid>
            <w:gridCol w:w="1620"/>
            <w:gridCol w:w="1725"/>
            <w:gridCol w:w="1470"/>
            <w:gridCol w:w="1605"/>
            <w:gridCol w:w="1560"/>
            <w:gridCol w:w="1545"/>
            <w:gridCol w:w="1245"/>
          </w:tblGrid>
        </w:tblGridChange>
      </w:tblGrid>
      <w:tr>
        <w:trPr>
          <w:cantSplit w:val="0"/>
          <w:trHeight w:val="12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Programas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Congelado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Atualizado Líquido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Reservado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Empenhado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%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(Empenhado  em relação ao Atualizado)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Reformas Mercados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R$ 1.000,00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R$ 1.501.000,00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R$ 1.717.374,57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R$ 1.217.374,57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R$ 1.072.374,57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62,44%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Armazém Solidário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R$ 8.999.000,00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R$ 35.450.615,13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R$ 35.450.615,13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R$ 33.853.663,51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95,50%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Banco de Alimentos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R$ 324.828,00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R$ 324.828,00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Bom Prato Paulistano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R$ 5.000.000,00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R$ 3.000.000,00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R$ 2.489.690,00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R$ 2.489.690,00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82.99%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ffffff" w:space="0" w:sz="8" w:val="single"/>
              <w:left w:color="ed7d31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Rede Cozinha Escola - RCE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R$ 190.000.000,00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R$ 140.108.218,14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R$ 139.806.684,22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R$ 138.590.991,17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98,92%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Rede Cozinha Cidadã - RCC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R$ 50.000.000,00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02124"/>
                <w:sz w:val="20"/>
                <w:szCs w:val="20"/>
                <w:rtl w:val="0"/>
              </w:rPr>
              <w:t xml:space="preserve">R$ 47.742.978,98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R$ 47.722.333,04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02124"/>
                <w:sz w:val="20"/>
                <w:szCs w:val="20"/>
                <w:rtl w:val="0"/>
              </w:rPr>
              <w:t xml:space="preserve">R$ 46.314.090,4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97,01%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Cidade Solidária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R$ 51.000.001,00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02124"/>
                <w:sz w:val="20"/>
                <w:szCs w:val="20"/>
                <w:rtl w:val="0"/>
              </w:rPr>
              <w:t xml:space="preserve">R$ 101.844.282,45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02124"/>
                <w:sz w:val="20"/>
                <w:szCs w:val="20"/>
                <w:rtl w:val="0"/>
              </w:rPr>
              <w:t xml:space="preserve">R$ 101.844.282,45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02124"/>
                <w:sz w:val="20"/>
                <w:szCs w:val="20"/>
                <w:rtl w:val="0"/>
              </w:rPr>
              <w:t xml:space="preserve">R$ 101.844.282,45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100%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Material Permanente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R$ 1.000,00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ind w:right="24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R$1.000,00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ind w:right="24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R$ 305.326.829,00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R$ 74.588.281,26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R$ 283.678.535,08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R$ 230.421.291,47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R$ 212.487.641,91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666666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74.60%</w:t>
            </w:r>
          </w:p>
        </w:tc>
      </w:tr>
    </w:tbl>
    <w:p w:rsidR="00000000" w:rsidDel="00000000" w:rsidP="00000000" w:rsidRDefault="00000000" w:rsidRPr="00000000" w14:paraId="0000007B">
      <w:pPr>
        <w:widowControl w:val="0"/>
        <w:spacing w:after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20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20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(iii) Pressão orçamentária para 2024</w:t>
      </w:r>
    </w:p>
    <w:p w:rsidR="00000000" w:rsidDel="00000000" w:rsidP="00000000" w:rsidRDefault="00000000" w:rsidRPr="00000000" w14:paraId="0000007E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20"/>
      </w:tblPr>
      <w:tblGrid>
        <w:gridCol w:w="2280"/>
        <w:gridCol w:w="2970"/>
        <w:gridCol w:w="2625"/>
        <w:gridCol w:w="2040"/>
        <w:tblGridChange w:id="0">
          <w:tblGrid>
            <w:gridCol w:w="2280"/>
            <w:gridCol w:w="2970"/>
            <w:gridCol w:w="2625"/>
            <w:gridCol w:w="2040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Projeção 2024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Atualizado Líquido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Pressão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FAASP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R$ 438.630.885,81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R$ 329.863.569,27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80.0" w:type="dxa"/>
              <w:left w:w="140.0" w:type="dxa"/>
              <w:bottom w:w="8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R$ 108.767.316,54</w:t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*Pressão identificada, majoritariamente, em contratos e parcerias vigentes.</w:t>
      </w: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0" w:tblpY="0"/>
        <w:tblW w:w="98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20"/>
      </w:tblPr>
      <w:tblGrid>
        <w:gridCol w:w="3135"/>
        <w:gridCol w:w="2025"/>
        <w:gridCol w:w="2040"/>
        <w:gridCol w:w="2670"/>
        <w:tblGridChange w:id="0">
          <w:tblGrid>
            <w:gridCol w:w="3135"/>
            <w:gridCol w:w="2025"/>
            <w:gridCol w:w="2040"/>
            <w:gridCol w:w="26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8A">
            <w:pPr>
              <w:keepNext w:val="1"/>
              <w:keepLines w:val="1"/>
              <w:widowControl w:val="1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8B">
            <w:pPr>
              <w:keepNext w:val="1"/>
              <w:keepLines w:val="1"/>
              <w:widowControl w:val="1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keepNext w:val="1"/>
              <w:keepLines w:val="1"/>
              <w:widowControl w:val="1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keepNext w:val="1"/>
              <w:keepLines w:val="1"/>
              <w:widowControl w:val="1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</w:tcPr>
          <w:p w:rsidR="00000000" w:rsidDel="00000000" w:rsidP="00000000" w:rsidRDefault="00000000" w:rsidRPr="00000000" w14:paraId="0000008E">
            <w:pPr>
              <w:keepNext w:val="1"/>
              <w:keepLines w:val="1"/>
              <w:widowControl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Rede Cozinha Escola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</w:tcPr>
          <w:p w:rsidR="00000000" w:rsidDel="00000000" w:rsidP="00000000" w:rsidRDefault="00000000" w:rsidRPr="00000000" w14:paraId="0000008F">
            <w:pPr>
              <w:keepNext w:val="1"/>
              <w:keepLines w:val="1"/>
              <w:widowControl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Cidade Solidária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keepNext w:val="1"/>
              <w:keepLines w:val="1"/>
              <w:widowControl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Bom Prato Paulistano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keepNext w:val="1"/>
              <w:keepLines w:val="1"/>
              <w:widowControl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Rede Cozinha Cidadã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</w:tcPr>
          <w:p w:rsidR="00000000" w:rsidDel="00000000" w:rsidP="00000000" w:rsidRDefault="00000000" w:rsidRPr="00000000" w14:paraId="00000092">
            <w:pPr>
              <w:keepNext w:val="1"/>
              <w:keepLines w:val="1"/>
              <w:widowControl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R$ 25.650.200,00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</w:tcPr>
          <w:p w:rsidR="00000000" w:rsidDel="00000000" w:rsidP="00000000" w:rsidRDefault="00000000" w:rsidRPr="00000000" w14:paraId="00000093">
            <w:pPr>
              <w:keepNext w:val="1"/>
              <w:keepLines w:val="1"/>
              <w:widowControl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R$ 53.474.000,00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keepNext w:val="1"/>
              <w:keepLines w:val="1"/>
              <w:widowControl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R$ 1.968.114,54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keepNext w:val="1"/>
              <w:keepLines w:val="1"/>
              <w:widowControl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R$ 27.675.000,00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</w:tcPr>
          <w:p w:rsidR="00000000" w:rsidDel="00000000" w:rsidP="00000000" w:rsidRDefault="00000000" w:rsidRPr="00000000" w14:paraId="00000096">
            <w:pPr>
              <w:keepNext w:val="1"/>
              <w:keepLines w:val="1"/>
              <w:widowControl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Prorrogação de 27 parcerias vigentes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</w:tcPr>
          <w:p w:rsidR="00000000" w:rsidDel="00000000" w:rsidP="00000000" w:rsidRDefault="00000000" w:rsidRPr="00000000" w14:paraId="00000097">
            <w:pPr>
              <w:keepNext w:val="1"/>
              <w:keepLines w:val="1"/>
              <w:widowControl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Prorrogação e compra de cestas básicas e contrato da logística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keepNext w:val="1"/>
              <w:keepLines w:val="1"/>
              <w:widowControl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Inauguração de 3 novas unidades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keepNext w:val="1"/>
              <w:keepLines w:val="1"/>
              <w:widowControl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Contratação de novo ciclo com 93 restaurantes - valor R$ 15,00 por refeição</w:t>
            </w:r>
          </w:p>
        </w:tc>
      </w:tr>
    </w:tbl>
    <w:p w:rsidR="00000000" w:rsidDel="00000000" w:rsidP="00000000" w:rsidRDefault="00000000" w:rsidRPr="00000000" w14:paraId="0000009A">
      <w:pPr>
        <w:keepNext w:val="1"/>
        <w:keepLines w:val="1"/>
        <w:widowControl w:val="1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after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(iv) Atualização do Conselho de Administração</w:t>
      </w:r>
    </w:p>
    <w:p w:rsidR="00000000" w:rsidDel="00000000" w:rsidP="00000000" w:rsidRDefault="00000000" w:rsidRPr="00000000" w14:paraId="0000009D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75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5"/>
        <w:gridCol w:w="4860"/>
        <w:tblGridChange w:id="0">
          <w:tblGrid>
            <w:gridCol w:w="4815"/>
            <w:gridCol w:w="48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ORGANIZAÇÃO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David Hertz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Gastromotiva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Chef Edson Leite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Gastronomia Periférica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Thiago Vinícius de Paula da Silva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Organicamente Rango</w:t>
            </w:r>
          </w:p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Agência Popular Solano Trindade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Daniela Leite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Comida Invisível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Cacique Mirinju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Conselho Municipal dos Povos Indígenas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 Município de São Paulo (COMPISP)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Luciana Chinaglia Quintão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Banco de Alimentos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Claudia Visoni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Frente Alimenta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Gilson Rodrigues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G10 Favelas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Paula de Albuquerque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CREN</w:t>
            </w:r>
          </w:p>
        </w:tc>
      </w:tr>
      <w:tr>
        <w:trPr>
          <w:cantSplit w:val="0"/>
          <w:trHeight w:val="1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Silvia Maria Schor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Fundação Instituto de Pesquisa Econômicas - FIPE 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Laura Muller Machado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Instituto de Ensino e Pesquisa - INSPER</w:t>
            </w:r>
          </w:p>
        </w:tc>
      </w:tr>
    </w:tbl>
    <w:p w:rsidR="00000000" w:rsidDel="00000000" w:rsidP="00000000" w:rsidRDefault="00000000" w:rsidRPr="00000000" w14:paraId="000000B8">
      <w:pPr>
        <w:widowControl w:val="0"/>
        <w:spacing w:after="20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Portaria nº 724 de 12 de Junho de 2024: Designa membros da Sociedade Civil para integrar o Conselho de Administração do Fundo de Abastecimento Alimentar de São Paulo – FAASP, órgão consultivo e de assessoramento.</w:t>
      </w:r>
    </w:p>
    <w:p w:rsidR="00000000" w:rsidDel="00000000" w:rsidP="00000000" w:rsidRDefault="00000000" w:rsidRPr="00000000" w14:paraId="000000B9">
      <w:pPr>
        <w:widowControl w:val="0"/>
        <w:spacing w:after="20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A primeira reunião foi realizada em 27 de junho.</w:t>
      </w:r>
    </w:p>
    <w:p w:rsidR="00000000" w:rsidDel="00000000" w:rsidP="00000000" w:rsidRDefault="00000000" w:rsidRPr="00000000" w14:paraId="000000BA">
      <w:pPr>
        <w:widowControl w:val="0"/>
        <w:spacing w:after="20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Em 15 de agosto aconteceu a visita aos equipamentos de SAN, com paradas no CRESAN Butantã e na Cozinha Escola do Instituto Brasileiro Campeão.</w:t>
      </w:r>
    </w:p>
    <w:p w:rsidR="00000000" w:rsidDel="00000000" w:rsidP="00000000" w:rsidRDefault="00000000" w:rsidRPr="00000000" w14:paraId="000000BB">
      <w:pPr>
        <w:widowControl w:val="0"/>
        <w:spacing w:after="20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Próxima reunião prevista para dezembro.</w:t>
      </w:r>
    </w:p>
    <w:p w:rsidR="00000000" w:rsidDel="00000000" w:rsidP="00000000" w:rsidRDefault="00000000" w:rsidRPr="00000000" w14:paraId="000000BC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B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(v) Projeto de Lei Orçamentária Anual (PLOA) 2025. Estimativa Inicial:</w:t>
      </w:r>
    </w:p>
    <w:p w:rsidR="00000000" w:rsidDel="00000000" w:rsidP="00000000" w:rsidRDefault="00000000" w:rsidRPr="00000000" w14:paraId="000000BE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75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05.030959752322"/>
        <w:gridCol w:w="3234.984520123839"/>
        <w:gridCol w:w="3234.984520123839"/>
        <w:tblGridChange w:id="0">
          <w:tblGrid>
            <w:gridCol w:w="3205.030959752322"/>
            <w:gridCol w:w="3234.984520123839"/>
            <w:gridCol w:w="3234.984520123839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Programa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Parâmetro SF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Estimativa inicial de recursos necessários 2025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Armazém Solidário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R$ 18.502.000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unidades atuais R$ 28.383.471,96 </w:t>
            </w:r>
          </w:p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3 novas unidades R$ 5.302.575,04</w:t>
            </w:r>
          </w:p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Reformas R$ 7.928.841,11</w:t>
            </w:r>
          </w:p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R$ 41.614.888,11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Banco de Alimentos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R$ 1.608.112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R$ 8.000.000,00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Bom Prato Paulistano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unidades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R$ 11.910.224,40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Rede Cozinha Escola - RCE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R$ 113.734.571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Manutenção 65 R$ 179.342.614,88  </w:t>
            </w:r>
          </w:p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novas unidades por 6 meses R$ 40.941.549,30</w:t>
            </w:r>
          </w:p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R$ 220.284.164,18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Rede Cozinha Cidadã - RCC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R$ 67.000.000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Refeições R$ 97.200.000,00 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Azul R$ 2.895.343,92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R$ 100.095.343,92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Cidade Solidária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R$ 69.000.000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Granterra R$ 92.378.250,00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CVS R$ 44.596.937,50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Cestas T.I. R$ 19.250.937,50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Logistics R$ 8.750.000,00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R$ 164.976.125,00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R$ 269.847.683,00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R$ 540.573.021,21</w:t>
            </w:r>
          </w:p>
        </w:tc>
      </w:tr>
    </w:tbl>
    <w:p w:rsidR="00000000" w:rsidDel="00000000" w:rsidP="00000000" w:rsidRDefault="00000000" w:rsidRPr="00000000" w14:paraId="000000E2">
      <w:pPr>
        <w:widowControl w:val="0"/>
        <w:spacing w:after="200"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after="200"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Os membros do Comitê Executivo também emitiram as seguintes deliberações:</w:t>
      </w:r>
    </w:p>
    <w:p w:rsidR="00000000" w:rsidDel="00000000" w:rsidP="00000000" w:rsidRDefault="00000000" w:rsidRPr="00000000" w14:paraId="000000E4">
      <w:pPr>
        <w:widowControl w:val="0"/>
        <w:spacing w:after="20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Aprovação do extrato de ata da Sétima Reunião Ordinária do Comitê Executivo;</w:t>
      </w:r>
    </w:p>
    <w:p w:rsidR="00000000" w:rsidDel="00000000" w:rsidP="00000000" w:rsidRDefault="00000000" w:rsidRPr="00000000" w14:paraId="000000E5">
      <w:pPr>
        <w:widowControl w:val="0"/>
        <w:spacing w:after="20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Resultados e atualizações dos Programas financiados pelo FAASP até julho/2024.</w:t>
      </w:r>
    </w:p>
    <w:p w:rsidR="00000000" w:rsidDel="00000000" w:rsidP="00000000" w:rsidRDefault="00000000" w:rsidRPr="00000000" w14:paraId="000000E6">
      <w:pPr>
        <w:widowControl w:val="0"/>
        <w:spacing w:after="200"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spacing w:after="200"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(viii) Outros informes e pontos de pauta discutidos:</w:t>
      </w:r>
    </w:p>
    <w:p w:rsidR="00000000" w:rsidDel="00000000" w:rsidP="00000000" w:rsidRDefault="00000000" w:rsidRPr="00000000" w14:paraId="000000EA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(viii.1)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Apresentação do Alimentômetro, com número de refeições em 2024 superior a 8 milhões; </w:t>
      </w:r>
    </w:p>
    <w:p w:rsidR="00000000" w:rsidDel="00000000" w:rsidP="00000000" w:rsidRDefault="00000000" w:rsidRPr="00000000" w14:paraId="000000EB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(viii.2)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Cidade Solidária: estudo de composição de cestas básicas para Povos Indígenas, cada uma no valor de R$ 158,00;</w:t>
      </w:r>
    </w:p>
    <w:p w:rsidR="00000000" w:rsidDel="00000000" w:rsidP="00000000" w:rsidRDefault="00000000" w:rsidRPr="00000000" w14:paraId="000000EC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(viii.3)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Rede Cozinha Cidadã: Novo edital previsto para setembro; Aumento do valor da refeição para R$ 15,00;</w:t>
      </w:r>
    </w:p>
    <w:p w:rsidR="00000000" w:rsidDel="00000000" w:rsidP="00000000" w:rsidRDefault="00000000" w:rsidRPr="00000000" w14:paraId="000000ED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(viii.4)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Publicação da Portaria Conjunta com a Secretaria Municipal de Inovação e Tecnologia - SMIT para o fornecimento de Wi-fi Livre os programas de SESANA;</w:t>
      </w:r>
    </w:p>
    <w:p w:rsidR="00000000" w:rsidDel="00000000" w:rsidP="00000000" w:rsidRDefault="00000000" w:rsidRPr="00000000" w14:paraId="000000EE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(viii.5)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Rede Cozinha Escola: 65 unidades em funcionamento; 26 contratos já renovados e mais 27 serão renovados até o final de 2024;</w:t>
      </w:r>
    </w:p>
    <w:p w:rsidR="00000000" w:rsidDel="00000000" w:rsidP="00000000" w:rsidRDefault="00000000" w:rsidRPr="00000000" w14:paraId="000000EF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(viii.6)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Armazém Solidário: cinco unidades inauguradas (São Miguel, City Jaraguá, Jaraguá, Guaianases, Estrada do Sabão/Brasilândia) e previsão de mais duas até o final do ano;</w:t>
      </w:r>
    </w:p>
    <w:p w:rsidR="00000000" w:rsidDel="00000000" w:rsidP="00000000" w:rsidRDefault="00000000" w:rsidRPr="00000000" w14:paraId="000000F0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(viii.7)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Estudo de parceria entre Cidade Solidária e Armazém Solidário: Iniciativa “Monte a sua cesta”, projeto piloto para a aquisição de produtos no Armazém Solidário por beneficiários do Cidade Solidária.</w:t>
      </w:r>
    </w:p>
    <w:p w:rsidR="00000000" w:rsidDel="00000000" w:rsidP="00000000" w:rsidRDefault="00000000" w:rsidRPr="00000000" w14:paraId="000000F1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Nada mais havendo a tratar, a Oitava Reunião Ordinária do Comitê Executivo 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FAASP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foi encerrada às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15h18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Após aprovação na reunião subsequente e assinatura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pela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Presidente do Comitê Executivo, o presente Extrato de Ata será publicado no Diário Oficial da Cidade de São Paulo, bem como será disponibilizado no sítio eletrônico da SMDHC.</w:t>
      </w:r>
    </w:p>
    <w:p w:rsidR="00000000" w:rsidDel="00000000" w:rsidP="00000000" w:rsidRDefault="00000000" w:rsidRPr="00000000" w14:paraId="000000F3">
      <w:pPr>
        <w:spacing w:line="276" w:lineRule="auto"/>
        <w:ind w:left="-141.73228346456688"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F4">
      <w:pPr>
        <w:spacing w:line="276" w:lineRule="auto"/>
        <w:ind w:left="-141.73228346456688"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F5">
      <w:pPr>
        <w:spacing w:line="276" w:lineRule="auto"/>
        <w:ind w:left="60" w:right="60" w:firstLine="0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(assinado eletronicamente)</w:t>
      </w:r>
    </w:p>
    <w:p w:rsidR="00000000" w:rsidDel="00000000" w:rsidP="00000000" w:rsidRDefault="00000000" w:rsidRPr="00000000" w14:paraId="000000F6">
      <w:pPr>
        <w:spacing w:line="276" w:lineRule="auto"/>
        <w:ind w:left="60" w:right="6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SONIA FRANCINE GASPAR MARMO</w:t>
      </w:r>
    </w:p>
    <w:p w:rsidR="00000000" w:rsidDel="00000000" w:rsidP="00000000" w:rsidRDefault="00000000" w:rsidRPr="00000000" w14:paraId="000000F7">
      <w:pPr>
        <w:spacing w:line="276" w:lineRule="auto"/>
        <w:ind w:left="60" w:right="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Presidente do Comitê Executivo 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FAASP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76" w:lineRule="auto"/>
        <w:ind w:left="60" w:right="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Secretaria Municipal de Direitos Humanos e Cidadania (SMDHC)</w:t>
      </w:r>
    </w:p>
    <w:p w:rsidR="00000000" w:rsidDel="00000000" w:rsidP="00000000" w:rsidRDefault="00000000" w:rsidRPr="00000000" w14:paraId="000000F9">
      <w:pPr>
        <w:spacing w:line="276" w:lineRule="auto"/>
        <w:ind w:left="60" w:right="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F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>
        <w:b w:val="0"/>
        <w:i w:val="0"/>
      </w:rPr>
      <w:tcPr/>
    </w:tblStylePr>
    <w:tblStylePr w:type="band1Vert">
      <w:pPr/>
      <w:rPr>
        <w:b w:val="0"/>
        <w:i w:val="0"/>
      </w:rPr>
      <w:tcPr/>
    </w:tblStylePr>
    <w:tblStylePr w:type="band2Horz">
      <w:pPr/>
      <w:rPr>
        <w:b w:val="0"/>
        <w:i w:val="0"/>
      </w:rPr>
      <w:tcPr/>
    </w:tblStylePr>
    <w:tblStylePr w:type="band2Vert">
      <w:pPr/>
      <w:rPr>
        <w:b w:val="0"/>
        <w:i w:val="0"/>
      </w:rPr>
      <w:tcPr/>
    </w:tblStylePr>
    <w:tblStylePr w:type="firstCol">
      <w:pPr/>
      <w:rPr>
        <w:b w:val="0"/>
        <w:i w:val="0"/>
      </w:rPr>
      <w:tcPr/>
    </w:tblStylePr>
    <w:tblStylePr w:type="firstRow">
      <w:pPr/>
      <w:rPr>
        <w:b w:val="0"/>
        <w:i w:val="0"/>
      </w:rPr>
      <w:tcPr/>
    </w:tblStylePr>
    <w:tblStylePr w:type="lastCol">
      <w:pPr/>
      <w:rPr>
        <w:b w:val="0"/>
        <w:i w:val="0"/>
      </w:rPr>
      <w:tcPr/>
    </w:tblStylePr>
    <w:tblStylePr w:type="lastRow">
      <w:pPr/>
      <w:rPr>
        <w:b w:val="0"/>
        <w:i w:val="0"/>
      </w:rPr>
      <w:tcPr/>
    </w:tblStylePr>
    <w:tblStylePr w:type="neCell">
      <w:pPr/>
      <w:rPr>
        <w:b w:val="0"/>
        <w:i w:val="0"/>
      </w:rPr>
      <w:tcPr/>
    </w:tblStylePr>
    <w:tblStylePr w:type="nwCell">
      <w:pPr/>
      <w:rPr>
        <w:b w:val="0"/>
        <w:i w:val="0"/>
      </w:rPr>
      <w:tcPr/>
    </w:tblStylePr>
    <w:tblStylePr w:type="seCell">
      <w:pPr/>
      <w:rPr>
        <w:b w:val="0"/>
        <w:i w:val="0"/>
      </w:rPr>
      <w:tcPr/>
    </w:tblStylePr>
    <w:tblStylePr w:type="swCell">
      <w:pPr/>
      <w:rPr>
        <w:b w:val="0"/>
        <w:i w:val="0"/>
      </w:rPr>
      <w:tcPr/>
    </w:tblStylePr>
  </w:style>
  <w:style w:type="table" w:styleId="Table2">
    <w:basedOn w:val="TableNormal"/>
    <w:pPr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>
        <w:b w:val="0"/>
        <w:i w:val="0"/>
      </w:rPr>
      <w:tcPr/>
    </w:tblStylePr>
    <w:tblStylePr w:type="band1Vert">
      <w:pPr/>
      <w:rPr>
        <w:b w:val="0"/>
        <w:i w:val="0"/>
      </w:rPr>
      <w:tcPr/>
    </w:tblStylePr>
    <w:tblStylePr w:type="band2Horz">
      <w:pPr/>
      <w:rPr>
        <w:b w:val="0"/>
        <w:i w:val="0"/>
      </w:rPr>
      <w:tcPr/>
    </w:tblStylePr>
    <w:tblStylePr w:type="band2Vert">
      <w:pPr/>
      <w:rPr>
        <w:b w:val="0"/>
        <w:i w:val="0"/>
      </w:rPr>
      <w:tcPr/>
    </w:tblStylePr>
    <w:tblStylePr w:type="firstCol">
      <w:pPr/>
      <w:rPr>
        <w:b w:val="0"/>
        <w:i w:val="0"/>
      </w:rPr>
      <w:tcPr/>
    </w:tblStylePr>
    <w:tblStylePr w:type="firstRow">
      <w:pPr/>
      <w:rPr>
        <w:b w:val="0"/>
        <w:i w:val="0"/>
      </w:rPr>
      <w:tcPr/>
    </w:tblStylePr>
    <w:tblStylePr w:type="lastCol">
      <w:pPr/>
      <w:rPr>
        <w:b w:val="0"/>
        <w:i w:val="0"/>
      </w:rPr>
      <w:tcPr/>
    </w:tblStylePr>
    <w:tblStylePr w:type="lastRow">
      <w:pPr/>
      <w:rPr>
        <w:b w:val="0"/>
        <w:i w:val="0"/>
      </w:rPr>
      <w:tcPr/>
    </w:tblStylePr>
    <w:tblStylePr w:type="neCell">
      <w:pPr/>
      <w:rPr>
        <w:b w:val="0"/>
        <w:i w:val="0"/>
      </w:rPr>
      <w:tcPr/>
    </w:tblStylePr>
    <w:tblStylePr w:type="nwCell">
      <w:pPr/>
      <w:rPr>
        <w:b w:val="0"/>
        <w:i w:val="0"/>
      </w:rPr>
      <w:tcPr/>
    </w:tblStylePr>
    <w:tblStylePr w:type="seCell">
      <w:pPr/>
      <w:rPr>
        <w:b w:val="0"/>
        <w:i w:val="0"/>
      </w:rPr>
      <w:tcPr/>
    </w:tblStylePr>
    <w:tblStylePr w:type="swCell">
      <w:pPr/>
      <w:rPr>
        <w:b w:val="0"/>
        <w:i w:val="0"/>
      </w:rPr>
      <w:tcPr/>
    </w:tblStylePr>
  </w:style>
  <w:style w:type="table" w:styleId="Table3">
    <w:basedOn w:val="TableNormal"/>
    <w:pPr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>
        <w:b w:val="0"/>
        <w:i w:val="0"/>
      </w:rPr>
      <w:tcPr/>
    </w:tblStylePr>
    <w:tblStylePr w:type="band1Vert">
      <w:pPr/>
      <w:rPr>
        <w:b w:val="0"/>
        <w:i w:val="0"/>
      </w:rPr>
      <w:tcPr/>
    </w:tblStylePr>
    <w:tblStylePr w:type="band2Horz">
      <w:pPr/>
      <w:rPr>
        <w:b w:val="0"/>
        <w:i w:val="0"/>
      </w:rPr>
      <w:tcPr/>
    </w:tblStylePr>
    <w:tblStylePr w:type="band2Vert">
      <w:pPr/>
      <w:rPr>
        <w:b w:val="0"/>
        <w:i w:val="0"/>
      </w:rPr>
      <w:tcPr/>
    </w:tblStylePr>
    <w:tblStylePr w:type="firstCol">
      <w:pPr/>
      <w:rPr>
        <w:b w:val="0"/>
        <w:i w:val="0"/>
      </w:rPr>
      <w:tcPr/>
    </w:tblStylePr>
    <w:tblStylePr w:type="firstRow">
      <w:pPr/>
      <w:rPr>
        <w:b w:val="0"/>
        <w:i w:val="0"/>
      </w:rPr>
      <w:tcPr/>
    </w:tblStylePr>
    <w:tblStylePr w:type="lastCol">
      <w:pPr/>
      <w:rPr>
        <w:b w:val="0"/>
        <w:i w:val="0"/>
      </w:rPr>
      <w:tcPr/>
    </w:tblStylePr>
    <w:tblStylePr w:type="lastRow">
      <w:pPr/>
      <w:rPr>
        <w:b w:val="0"/>
        <w:i w:val="0"/>
      </w:rPr>
      <w:tcPr/>
    </w:tblStylePr>
    <w:tblStylePr w:type="neCell">
      <w:pPr/>
      <w:rPr>
        <w:b w:val="0"/>
        <w:i w:val="0"/>
      </w:rPr>
      <w:tcPr/>
    </w:tblStylePr>
    <w:tblStylePr w:type="nwCell">
      <w:pPr/>
      <w:rPr>
        <w:b w:val="0"/>
        <w:i w:val="0"/>
      </w:rPr>
      <w:tcPr/>
    </w:tblStylePr>
    <w:tblStylePr w:type="seCell">
      <w:pPr/>
      <w:rPr>
        <w:b w:val="0"/>
        <w:i w:val="0"/>
      </w:rPr>
      <w:tcPr/>
    </w:tblStylePr>
    <w:tblStylePr w:type="swCell">
      <w:pPr/>
      <w:rPr>
        <w:b w:val="0"/>
        <w:i w:val="0"/>
      </w:rPr>
      <w:tcPr/>
    </w:tblStylePr>
  </w:style>
  <w:style w:type="table" w:styleId="Table4">
    <w:basedOn w:val="TableNormal"/>
    <w:pPr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>
        <w:b w:val="0"/>
        <w:i w:val="0"/>
      </w:rPr>
      <w:tcPr/>
    </w:tblStylePr>
    <w:tblStylePr w:type="band1Vert">
      <w:pPr/>
      <w:rPr>
        <w:b w:val="0"/>
        <w:i w:val="0"/>
      </w:rPr>
      <w:tcPr/>
    </w:tblStylePr>
    <w:tblStylePr w:type="band2Horz">
      <w:pPr/>
      <w:rPr>
        <w:b w:val="0"/>
        <w:i w:val="0"/>
      </w:rPr>
      <w:tcPr/>
    </w:tblStylePr>
    <w:tblStylePr w:type="band2Vert">
      <w:pPr/>
      <w:rPr>
        <w:b w:val="0"/>
        <w:i w:val="0"/>
      </w:rPr>
      <w:tcPr/>
    </w:tblStylePr>
    <w:tblStylePr w:type="firstCol">
      <w:pPr/>
      <w:rPr>
        <w:b w:val="0"/>
        <w:i w:val="0"/>
      </w:rPr>
      <w:tcPr/>
    </w:tblStylePr>
    <w:tblStylePr w:type="firstRow">
      <w:pPr/>
      <w:rPr>
        <w:b w:val="0"/>
        <w:i w:val="0"/>
      </w:rPr>
      <w:tcPr/>
    </w:tblStylePr>
    <w:tblStylePr w:type="lastCol">
      <w:pPr/>
      <w:rPr>
        <w:b w:val="0"/>
        <w:i w:val="0"/>
      </w:rPr>
      <w:tcPr/>
    </w:tblStylePr>
    <w:tblStylePr w:type="lastRow">
      <w:pPr/>
      <w:rPr>
        <w:b w:val="0"/>
        <w:i w:val="0"/>
      </w:rPr>
      <w:tcPr/>
    </w:tblStylePr>
    <w:tblStylePr w:type="neCell">
      <w:pPr/>
      <w:rPr>
        <w:b w:val="0"/>
        <w:i w:val="0"/>
      </w:rPr>
      <w:tcPr/>
    </w:tblStylePr>
    <w:tblStylePr w:type="nwCell">
      <w:pPr/>
      <w:rPr>
        <w:b w:val="0"/>
        <w:i w:val="0"/>
      </w:rPr>
      <w:tcPr/>
    </w:tblStylePr>
    <w:tblStylePr w:type="seCell">
      <w:pPr/>
      <w:rPr>
        <w:b w:val="0"/>
        <w:i w:val="0"/>
      </w:rPr>
      <w:tcPr/>
    </w:tblStylePr>
    <w:tblStylePr w:type="swCell">
      <w:pPr/>
      <w:rPr>
        <w:b w:val="0"/>
        <w:i w:val="0"/>
      </w:rPr>
      <w:tcPr/>
    </w:tblStylePr>
  </w:style>
  <w:style w:type="table" w:styleId="Table5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6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