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3100" w:right="0" w:firstLine="0"/>
        <w:rPr>
          <w:rFonts w:ascii="Times New Roman"/>
          <w:sz w:val="20"/>
        </w:rPr>
      </w:pPr>
      <w:bookmarkStart w:name="Ata de Reunião - Comissão Eleitoral N°09" w:id="1"/>
      <w:bookmarkEnd w:id="1"/>
      <w:r>
        <w:rPr/>
      </w: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4375150" cy="1501775"/>
                <wp:effectExtent l="0" t="0" r="0" b="3175"/>
                <wp:docPr id="3" name="Group 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" name="Group 3"/>
                      <wpg:cNvGrpSpPr/>
                      <wpg:grpSpPr>
                        <a:xfrm>
                          <a:off x="0" y="0"/>
                          <a:ext cx="4375150" cy="1501775"/>
                          <a:chExt cx="4375150" cy="1501775"/>
                        </a:xfrm>
                      </wpg:grpSpPr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6407" cy="150155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Textbox 5"/>
                        <wps:cNvSpPr txBox="1"/>
                        <wps:spPr>
                          <a:xfrm>
                            <a:off x="2614389" y="7622"/>
                            <a:ext cx="1753235" cy="503555"/>
                          </a:xfrm>
                          <a:prstGeom prst="rect">
                            <a:avLst/>
                          </a:prstGeom>
                          <a:ln w="15244">
                            <a:solidFill>
                              <a:srgbClr val="767676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47" w:lineRule="auto" w:before="59"/>
                                <w:ind w:left="6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10"/>
                                  <w:sz w:val="18"/>
                                </w:rPr>
                                <w:t>Editais nº 2220068 Disponibilização:</w:t>
                              </w:r>
                              <w:r>
                                <w:rPr>
                                  <w:spacing w:val="-15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18"/>
                                </w:rPr>
                                <w:t>18/08/2026 Publicação: 18/08/2026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44.5pt;height:118.25pt;mso-position-horizontal-relative:char;mso-position-vertical-relative:line" id="docshapegroup3" coordorigin="0,0" coordsize="6890,2365">
                <v:shape style="position:absolute;left:0;top:0;width:4562;height:2365" type="#_x0000_t75" id="docshape4" stroked="false">
                  <v:imagedata r:id="rId6" o:title=""/>
                </v:shape>
                <v:shape style="position:absolute;left:4117;top:12;width:2761;height:793" type="#_x0000_t202" id="docshape5" filled="false" stroked="true" strokeweight="1.200335pt" strokecolor="#767676">
                  <v:textbox inset="0,0,0,0">
                    <w:txbxContent>
                      <w:p>
                        <w:pPr>
                          <w:spacing w:line="247" w:lineRule="auto" w:before="59"/>
                          <w:ind w:left="6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110"/>
                            <w:sz w:val="18"/>
                          </w:rPr>
                          <w:t>Editais nº 2220068 Disponibilização:</w:t>
                        </w:r>
                        <w:r>
                          <w:rPr>
                            <w:spacing w:val="-15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w w:val="110"/>
                            <w:sz w:val="18"/>
                          </w:rPr>
                          <w:t>18/08/2026 Publicação: 18/08/2026</w:t>
                        </w:r>
                      </w:p>
                    </w:txbxContent>
                  </v:textbox>
                  <v:stroke dashstyle="solid"/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Heading1"/>
        <w:spacing w:before="89"/>
        <w:ind w:left="3"/>
      </w:pPr>
      <w:r>
        <w:rPr>
          <w:w w:val="125"/>
        </w:rPr>
        <w:t>SECRETARIA</w:t>
      </w:r>
      <w:r>
        <w:rPr>
          <w:spacing w:val="-2"/>
          <w:w w:val="125"/>
        </w:rPr>
        <w:t> </w:t>
      </w:r>
      <w:r>
        <w:rPr>
          <w:w w:val="125"/>
        </w:rPr>
        <w:t>MUNICIPAL</w:t>
      </w:r>
      <w:r>
        <w:rPr>
          <w:spacing w:val="-1"/>
          <w:w w:val="125"/>
        </w:rPr>
        <w:t> </w:t>
      </w:r>
      <w:r>
        <w:rPr>
          <w:w w:val="125"/>
        </w:rPr>
        <w:t>DE</w:t>
      </w:r>
      <w:r>
        <w:rPr>
          <w:spacing w:val="-1"/>
          <w:w w:val="125"/>
        </w:rPr>
        <w:t> </w:t>
      </w:r>
      <w:r>
        <w:rPr>
          <w:w w:val="125"/>
        </w:rPr>
        <w:t>DIREITOS</w:t>
      </w:r>
      <w:r>
        <w:rPr>
          <w:spacing w:val="-1"/>
          <w:w w:val="125"/>
        </w:rPr>
        <w:t> </w:t>
      </w:r>
      <w:r>
        <w:rPr>
          <w:w w:val="125"/>
        </w:rPr>
        <w:t>HUMANOS</w:t>
      </w:r>
      <w:r>
        <w:rPr>
          <w:spacing w:val="-1"/>
          <w:w w:val="125"/>
        </w:rPr>
        <w:t> </w:t>
      </w:r>
      <w:r>
        <w:rPr>
          <w:w w:val="125"/>
        </w:rPr>
        <w:t>E</w:t>
      </w:r>
      <w:r>
        <w:rPr>
          <w:spacing w:val="-1"/>
          <w:w w:val="125"/>
        </w:rPr>
        <w:t> </w:t>
      </w:r>
      <w:r>
        <w:rPr>
          <w:spacing w:val="-2"/>
          <w:w w:val="125"/>
        </w:rPr>
        <w:t>CIDADANIA</w:t>
      </w:r>
    </w:p>
    <w:p>
      <w:pPr>
        <w:spacing w:before="23"/>
        <w:ind w:left="10" w:right="22" w:firstLine="0"/>
        <w:jc w:val="center"/>
        <w:rPr>
          <w:b/>
          <w:sz w:val="26"/>
        </w:rPr>
      </w:pPr>
      <w:r>
        <w:rPr>
          <w:b/>
          <w:spacing w:val="-2"/>
          <w:w w:val="125"/>
          <w:sz w:val="26"/>
        </w:rPr>
        <w:t>Coordenação</w:t>
      </w:r>
      <w:r>
        <w:rPr>
          <w:b/>
          <w:spacing w:val="-16"/>
          <w:w w:val="125"/>
          <w:sz w:val="26"/>
        </w:rPr>
        <w:t> </w:t>
      </w:r>
      <w:r>
        <w:rPr>
          <w:b/>
          <w:spacing w:val="-2"/>
          <w:w w:val="125"/>
          <w:sz w:val="26"/>
        </w:rPr>
        <w:t>de</w:t>
      </w:r>
      <w:r>
        <w:rPr>
          <w:b/>
          <w:spacing w:val="-15"/>
          <w:w w:val="125"/>
          <w:sz w:val="26"/>
        </w:rPr>
        <w:t> </w:t>
      </w:r>
      <w:r>
        <w:rPr>
          <w:b/>
          <w:spacing w:val="-2"/>
          <w:w w:val="125"/>
          <w:sz w:val="26"/>
        </w:rPr>
        <w:t>Políticas</w:t>
      </w:r>
      <w:r>
        <w:rPr>
          <w:b/>
          <w:spacing w:val="-15"/>
          <w:w w:val="125"/>
          <w:sz w:val="26"/>
        </w:rPr>
        <w:t> </w:t>
      </w:r>
      <w:r>
        <w:rPr>
          <w:b/>
          <w:spacing w:val="-2"/>
          <w:w w:val="125"/>
          <w:sz w:val="26"/>
        </w:rPr>
        <w:t>para</w:t>
      </w:r>
      <w:r>
        <w:rPr>
          <w:b/>
          <w:spacing w:val="-15"/>
          <w:w w:val="125"/>
          <w:sz w:val="26"/>
        </w:rPr>
        <w:t> </w:t>
      </w:r>
      <w:r>
        <w:rPr>
          <w:b/>
          <w:spacing w:val="-2"/>
          <w:w w:val="125"/>
          <w:sz w:val="26"/>
        </w:rPr>
        <w:t>LGBTI</w:t>
      </w:r>
    </w:p>
    <w:p>
      <w:pPr>
        <w:spacing w:line="256" w:lineRule="auto" w:before="22"/>
        <w:ind w:left="18" w:right="22" w:firstLine="0"/>
        <w:jc w:val="center"/>
        <w:rPr>
          <w:sz w:val="26"/>
        </w:rPr>
      </w:pPr>
      <w:r>
        <w:rPr>
          <w:w w:val="115"/>
          <w:sz w:val="26"/>
        </w:rPr>
        <w:t>Rua</w:t>
      </w:r>
      <w:r>
        <w:rPr>
          <w:spacing w:val="-11"/>
          <w:w w:val="115"/>
          <w:sz w:val="26"/>
        </w:rPr>
        <w:t> </w:t>
      </w:r>
      <w:r>
        <w:rPr>
          <w:w w:val="115"/>
          <w:sz w:val="26"/>
        </w:rPr>
        <w:t>Libero</w:t>
      </w:r>
      <w:r>
        <w:rPr>
          <w:spacing w:val="-11"/>
          <w:w w:val="115"/>
          <w:sz w:val="26"/>
        </w:rPr>
        <w:t> </w:t>
      </w:r>
      <w:r>
        <w:rPr>
          <w:w w:val="115"/>
          <w:sz w:val="26"/>
        </w:rPr>
        <w:t>Badaró,</w:t>
      </w:r>
      <w:r>
        <w:rPr>
          <w:spacing w:val="-11"/>
          <w:w w:val="115"/>
          <w:sz w:val="26"/>
        </w:rPr>
        <w:t> </w:t>
      </w:r>
      <w:r>
        <w:rPr>
          <w:w w:val="115"/>
          <w:sz w:val="26"/>
        </w:rPr>
        <w:t>119,</w:t>
      </w:r>
      <w:r>
        <w:rPr>
          <w:spacing w:val="-11"/>
          <w:w w:val="115"/>
          <w:sz w:val="26"/>
        </w:rPr>
        <w:t> </w:t>
      </w:r>
      <w:r>
        <w:rPr>
          <w:w w:val="115"/>
          <w:sz w:val="26"/>
        </w:rPr>
        <w:t>11º</w:t>
      </w:r>
      <w:r>
        <w:rPr>
          <w:spacing w:val="-11"/>
          <w:w w:val="115"/>
          <w:sz w:val="26"/>
        </w:rPr>
        <w:t> </w:t>
      </w:r>
      <w:r>
        <w:rPr>
          <w:w w:val="115"/>
          <w:sz w:val="26"/>
        </w:rPr>
        <w:t>Andar</w:t>
      </w:r>
      <w:r>
        <w:rPr>
          <w:spacing w:val="-12"/>
          <w:w w:val="115"/>
          <w:sz w:val="26"/>
        </w:rPr>
        <w:t> </w:t>
      </w:r>
      <w:r>
        <w:rPr>
          <w:w w:val="115"/>
          <w:sz w:val="26"/>
        </w:rPr>
        <w:t>-</w:t>
      </w:r>
      <w:r>
        <w:rPr>
          <w:spacing w:val="-11"/>
          <w:w w:val="115"/>
          <w:sz w:val="26"/>
        </w:rPr>
        <w:t> </w:t>
      </w:r>
      <w:r>
        <w:rPr>
          <w:w w:val="115"/>
          <w:sz w:val="26"/>
        </w:rPr>
        <w:t>Bairro</w:t>
      </w:r>
      <w:r>
        <w:rPr>
          <w:spacing w:val="-11"/>
          <w:w w:val="115"/>
          <w:sz w:val="26"/>
        </w:rPr>
        <w:t> </w:t>
      </w:r>
      <w:r>
        <w:rPr>
          <w:w w:val="115"/>
          <w:sz w:val="26"/>
        </w:rPr>
        <w:t>Centro</w:t>
      </w:r>
      <w:r>
        <w:rPr>
          <w:spacing w:val="-11"/>
          <w:w w:val="115"/>
          <w:sz w:val="26"/>
        </w:rPr>
        <w:t> </w:t>
      </w:r>
      <w:r>
        <w:rPr>
          <w:w w:val="115"/>
          <w:sz w:val="26"/>
        </w:rPr>
        <w:t>-</w:t>
      </w:r>
      <w:r>
        <w:rPr>
          <w:spacing w:val="-11"/>
          <w:w w:val="115"/>
          <w:sz w:val="26"/>
        </w:rPr>
        <w:t> </w:t>
      </w:r>
      <w:r>
        <w:rPr>
          <w:w w:val="115"/>
          <w:sz w:val="26"/>
        </w:rPr>
        <w:t>São</w:t>
      </w:r>
      <w:r>
        <w:rPr>
          <w:spacing w:val="-11"/>
          <w:w w:val="115"/>
          <w:sz w:val="26"/>
        </w:rPr>
        <w:t> </w:t>
      </w:r>
      <w:r>
        <w:rPr>
          <w:w w:val="115"/>
          <w:sz w:val="26"/>
        </w:rPr>
        <w:t>Paulo/SP</w:t>
      </w:r>
      <w:r>
        <w:rPr>
          <w:spacing w:val="-11"/>
          <w:w w:val="115"/>
          <w:sz w:val="26"/>
        </w:rPr>
        <w:t> </w:t>
      </w:r>
      <w:r>
        <w:rPr>
          <w:w w:val="115"/>
          <w:sz w:val="26"/>
        </w:rPr>
        <w:t>-</w:t>
      </w:r>
      <w:r>
        <w:rPr>
          <w:spacing w:val="-11"/>
          <w:w w:val="115"/>
          <w:sz w:val="26"/>
        </w:rPr>
        <w:t> </w:t>
      </w:r>
      <w:r>
        <w:rPr>
          <w:w w:val="115"/>
          <w:sz w:val="26"/>
        </w:rPr>
        <w:t>CEP</w:t>
      </w:r>
      <w:r>
        <w:rPr>
          <w:spacing w:val="-11"/>
          <w:w w:val="115"/>
          <w:sz w:val="26"/>
        </w:rPr>
        <w:t> </w:t>
      </w:r>
      <w:r>
        <w:rPr>
          <w:w w:val="115"/>
          <w:sz w:val="26"/>
        </w:rPr>
        <w:t>01009-</w:t>
      </w:r>
      <w:r>
        <w:rPr>
          <w:spacing w:val="-4"/>
          <w:w w:val="115"/>
          <w:sz w:val="26"/>
        </w:rPr>
        <w:t>000</w:t>
      </w:r>
    </w:p>
    <w:p>
      <w:pPr>
        <w:spacing w:before="2"/>
        <w:ind w:left="22" w:right="22" w:firstLine="0"/>
        <w:jc w:val="center"/>
        <w:rPr>
          <w:sz w:val="26"/>
        </w:rPr>
      </w:pPr>
      <w:r>
        <w:rPr>
          <w:w w:val="110"/>
          <w:sz w:val="26"/>
        </w:rPr>
        <w:t>Telefone:</w:t>
      </w:r>
      <w:r>
        <w:rPr>
          <w:spacing w:val="53"/>
          <w:w w:val="110"/>
          <w:sz w:val="26"/>
        </w:rPr>
        <w:t> </w:t>
      </w:r>
      <w:r>
        <w:rPr>
          <w:w w:val="110"/>
          <w:sz w:val="26"/>
        </w:rPr>
        <w:t>11-2833-</w:t>
      </w:r>
      <w:r>
        <w:rPr>
          <w:spacing w:val="-4"/>
          <w:w w:val="110"/>
          <w:sz w:val="26"/>
        </w:rPr>
        <w:t>4150</w:t>
      </w:r>
    </w:p>
    <w:p>
      <w:pPr>
        <w:pStyle w:val="BodyText"/>
        <w:rPr>
          <w:sz w:val="26"/>
        </w:rPr>
      </w:pPr>
    </w:p>
    <w:p>
      <w:pPr>
        <w:pStyle w:val="BodyText"/>
        <w:spacing w:before="78"/>
        <w:rPr>
          <w:sz w:val="26"/>
        </w:rPr>
      </w:pPr>
    </w:p>
    <w:p>
      <w:pPr>
        <w:spacing w:before="0"/>
        <w:ind w:left="0" w:right="22" w:firstLine="0"/>
        <w:jc w:val="center"/>
        <w:rPr>
          <w:b/>
          <w:sz w:val="26"/>
        </w:rPr>
      </w:pPr>
      <w:r>
        <w:rPr>
          <w:b/>
          <w:w w:val="120"/>
          <w:sz w:val="26"/>
        </w:rPr>
        <w:t>ATA</w:t>
      </w:r>
      <w:r>
        <w:rPr>
          <w:b/>
          <w:spacing w:val="21"/>
          <w:w w:val="120"/>
          <w:sz w:val="26"/>
        </w:rPr>
        <w:t> </w:t>
      </w:r>
      <w:r>
        <w:rPr>
          <w:b/>
          <w:w w:val="120"/>
          <w:sz w:val="26"/>
        </w:rPr>
        <w:t>REUNIÃO</w:t>
      </w:r>
      <w:r>
        <w:rPr>
          <w:b/>
          <w:spacing w:val="22"/>
          <w:w w:val="120"/>
          <w:sz w:val="26"/>
        </w:rPr>
        <w:t> </w:t>
      </w:r>
      <w:r>
        <w:rPr>
          <w:b/>
          <w:w w:val="120"/>
          <w:sz w:val="26"/>
        </w:rPr>
        <w:t>DA</w:t>
      </w:r>
      <w:r>
        <w:rPr>
          <w:b/>
          <w:spacing w:val="21"/>
          <w:w w:val="120"/>
          <w:sz w:val="26"/>
        </w:rPr>
        <w:t> </w:t>
      </w:r>
      <w:r>
        <w:rPr>
          <w:b/>
          <w:w w:val="120"/>
          <w:sz w:val="26"/>
        </w:rPr>
        <w:t>COMISSÃO</w:t>
      </w:r>
      <w:r>
        <w:rPr>
          <w:b/>
          <w:spacing w:val="22"/>
          <w:w w:val="120"/>
          <w:sz w:val="26"/>
        </w:rPr>
        <w:t> </w:t>
      </w:r>
      <w:r>
        <w:rPr>
          <w:b/>
          <w:w w:val="120"/>
          <w:sz w:val="26"/>
        </w:rPr>
        <w:t>ELEITORAL</w:t>
      </w:r>
      <w:r>
        <w:rPr>
          <w:b/>
          <w:spacing w:val="21"/>
          <w:w w:val="120"/>
          <w:sz w:val="26"/>
        </w:rPr>
        <w:t> </w:t>
      </w:r>
      <w:r>
        <w:rPr>
          <w:b/>
          <w:w w:val="120"/>
          <w:sz w:val="26"/>
        </w:rPr>
        <w:t>N°</w:t>
      </w:r>
      <w:r>
        <w:rPr>
          <w:b/>
          <w:spacing w:val="22"/>
          <w:w w:val="120"/>
          <w:sz w:val="26"/>
        </w:rPr>
        <w:t> </w:t>
      </w:r>
      <w:r>
        <w:rPr>
          <w:b/>
          <w:spacing w:val="-5"/>
          <w:w w:val="120"/>
          <w:sz w:val="26"/>
        </w:rPr>
        <w:t>09</w:t>
      </w: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spacing w:before="46"/>
        <w:rPr>
          <w:b/>
          <w:sz w:val="26"/>
        </w:rPr>
      </w:pPr>
    </w:p>
    <w:p>
      <w:pPr>
        <w:pStyle w:val="Heading2"/>
      </w:pPr>
      <w:r>
        <w:rPr>
          <w:w w:val="120"/>
        </w:rPr>
        <w:t>PARTICIPANTES</w:t>
      </w:r>
      <w:r>
        <w:rPr>
          <w:spacing w:val="11"/>
          <w:w w:val="120"/>
        </w:rPr>
        <w:t> </w:t>
      </w:r>
      <w:r>
        <w:rPr>
          <w:w w:val="120"/>
        </w:rPr>
        <w:t>-</w:t>
      </w:r>
      <w:r>
        <w:rPr>
          <w:spacing w:val="12"/>
          <w:w w:val="120"/>
        </w:rPr>
        <w:t> </w:t>
      </w:r>
      <w:r>
        <w:rPr>
          <w:spacing w:val="-2"/>
          <w:w w:val="120"/>
        </w:rPr>
        <w:t>GOVERNO:</w:t>
      </w:r>
    </w:p>
    <w:p>
      <w:pPr>
        <w:pStyle w:val="BodyText"/>
        <w:spacing w:line="350" w:lineRule="auto" w:before="130"/>
        <w:ind w:left="244" w:right="544"/>
      </w:pPr>
      <w:r>
        <w:rPr>
          <w:w w:val="110"/>
        </w:rPr>
        <w:t>Rebeca Rodrigues (Secretaria Municipal de Direitos Humanos e Cidadania – SMDHC);</w:t>
      </w:r>
      <w:r>
        <w:rPr>
          <w:spacing w:val="40"/>
          <w:w w:val="110"/>
        </w:rPr>
        <w:t> </w:t>
      </w:r>
      <w:r>
        <w:rPr>
          <w:w w:val="110"/>
        </w:rPr>
        <w:t>Kaliel</w:t>
      </w:r>
      <w:r>
        <w:rPr>
          <w:spacing w:val="36"/>
          <w:w w:val="110"/>
        </w:rPr>
        <w:t> </w:t>
      </w:r>
      <w:r>
        <w:rPr>
          <w:w w:val="110"/>
        </w:rPr>
        <w:t>Nunes</w:t>
      </w:r>
      <w:r>
        <w:rPr>
          <w:spacing w:val="36"/>
          <w:w w:val="110"/>
        </w:rPr>
        <w:t> </w:t>
      </w:r>
      <w:r>
        <w:rPr>
          <w:w w:val="110"/>
        </w:rPr>
        <w:t>(Secretaria</w:t>
      </w:r>
      <w:r>
        <w:rPr>
          <w:spacing w:val="36"/>
          <w:w w:val="110"/>
        </w:rPr>
        <w:t> </w:t>
      </w:r>
      <w:r>
        <w:rPr>
          <w:w w:val="110"/>
        </w:rPr>
        <w:t>Municipal</w:t>
      </w:r>
      <w:r>
        <w:rPr>
          <w:spacing w:val="36"/>
          <w:w w:val="110"/>
        </w:rPr>
        <w:t> </w:t>
      </w:r>
      <w:r>
        <w:rPr>
          <w:w w:val="110"/>
        </w:rPr>
        <w:t>de</w:t>
      </w:r>
      <w:r>
        <w:rPr>
          <w:spacing w:val="36"/>
          <w:w w:val="110"/>
        </w:rPr>
        <w:t> </w:t>
      </w:r>
      <w:r>
        <w:rPr>
          <w:w w:val="110"/>
        </w:rPr>
        <w:t>Direitos</w:t>
      </w:r>
      <w:r>
        <w:rPr>
          <w:spacing w:val="36"/>
          <w:w w:val="110"/>
        </w:rPr>
        <w:t> </w:t>
      </w:r>
      <w:r>
        <w:rPr>
          <w:w w:val="110"/>
        </w:rPr>
        <w:t>Humanos</w:t>
      </w:r>
      <w:r>
        <w:rPr>
          <w:spacing w:val="36"/>
          <w:w w:val="110"/>
        </w:rPr>
        <w:t> </w:t>
      </w:r>
      <w:r>
        <w:rPr>
          <w:w w:val="110"/>
        </w:rPr>
        <w:t>e</w:t>
      </w:r>
      <w:r>
        <w:rPr>
          <w:spacing w:val="36"/>
          <w:w w:val="110"/>
        </w:rPr>
        <w:t> </w:t>
      </w:r>
      <w:r>
        <w:rPr>
          <w:w w:val="110"/>
        </w:rPr>
        <w:t>Cidadania</w:t>
      </w:r>
      <w:r>
        <w:rPr>
          <w:spacing w:val="36"/>
          <w:w w:val="110"/>
        </w:rPr>
        <w:t> </w:t>
      </w:r>
      <w:r>
        <w:rPr>
          <w:w w:val="110"/>
        </w:rPr>
        <w:t>–</w:t>
      </w:r>
      <w:r>
        <w:rPr>
          <w:spacing w:val="36"/>
          <w:w w:val="110"/>
        </w:rPr>
        <w:t> </w:t>
      </w:r>
      <w:r>
        <w:rPr>
          <w:w w:val="110"/>
        </w:rPr>
        <w:t>SMDHC); Maicon</w:t>
      </w:r>
      <w:r>
        <w:rPr>
          <w:spacing w:val="33"/>
          <w:w w:val="110"/>
        </w:rPr>
        <w:t> </w:t>
      </w:r>
      <w:r>
        <w:rPr>
          <w:w w:val="110"/>
        </w:rPr>
        <w:t>Faria</w:t>
      </w:r>
      <w:r>
        <w:rPr>
          <w:spacing w:val="33"/>
          <w:w w:val="110"/>
        </w:rPr>
        <w:t> </w:t>
      </w:r>
      <w:r>
        <w:rPr>
          <w:w w:val="110"/>
        </w:rPr>
        <w:t>(Secretaria</w:t>
      </w:r>
      <w:r>
        <w:rPr>
          <w:spacing w:val="33"/>
          <w:w w:val="110"/>
        </w:rPr>
        <w:t> </w:t>
      </w:r>
      <w:r>
        <w:rPr>
          <w:w w:val="110"/>
        </w:rPr>
        <w:t>Municipal</w:t>
      </w:r>
      <w:r>
        <w:rPr>
          <w:spacing w:val="33"/>
          <w:w w:val="110"/>
        </w:rPr>
        <w:t> </w:t>
      </w:r>
      <w:r>
        <w:rPr>
          <w:w w:val="110"/>
        </w:rPr>
        <w:t>de</w:t>
      </w:r>
      <w:r>
        <w:rPr>
          <w:spacing w:val="33"/>
          <w:w w:val="110"/>
        </w:rPr>
        <w:t> </w:t>
      </w:r>
      <w:r>
        <w:rPr>
          <w:w w:val="110"/>
        </w:rPr>
        <w:t>Direitos</w:t>
      </w:r>
      <w:r>
        <w:rPr>
          <w:spacing w:val="33"/>
          <w:w w:val="110"/>
        </w:rPr>
        <w:t> </w:t>
      </w:r>
      <w:r>
        <w:rPr>
          <w:w w:val="110"/>
        </w:rPr>
        <w:t>Humanos</w:t>
      </w:r>
      <w:r>
        <w:rPr>
          <w:spacing w:val="33"/>
          <w:w w:val="110"/>
        </w:rPr>
        <w:t> </w:t>
      </w:r>
      <w:r>
        <w:rPr>
          <w:w w:val="110"/>
        </w:rPr>
        <w:t>e</w:t>
      </w:r>
      <w:r>
        <w:rPr>
          <w:spacing w:val="33"/>
          <w:w w:val="110"/>
        </w:rPr>
        <w:t> </w:t>
      </w:r>
      <w:r>
        <w:rPr>
          <w:w w:val="110"/>
        </w:rPr>
        <w:t>Cidadania</w:t>
      </w:r>
      <w:r>
        <w:rPr>
          <w:spacing w:val="33"/>
          <w:w w:val="110"/>
        </w:rPr>
        <w:t> </w:t>
      </w:r>
      <w:r>
        <w:rPr>
          <w:w w:val="110"/>
        </w:rPr>
        <w:t>-</w:t>
      </w:r>
      <w:r>
        <w:rPr>
          <w:spacing w:val="33"/>
          <w:w w:val="110"/>
        </w:rPr>
        <w:t> </w:t>
      </w:r>
      <w:r>
        <w:rPr>
          <w:w w:val="110"/>
        </w:rPr>
        <w:t>SMDHC);</w:t>
      </w:r>
      <w:r>
        <w:rPr>
          <w:w w:val="110"/>
        </w:rPr>
        <w:t> Maiza Castro (Secretaria Municipal de Direitos Humanos e Cidadania - SMDHC);</w:t>
      </w:r>
    </w:p>
    <w:p>
      <w:pPr>
        <w:pStyle w:val="BodyText"/>
        <w:spacing w:before="134"/>
      </w:pPr>
    </w:p>
    <w:p>
      <w:pPr>
        <w:pStyle w:val="Heading2"/>
      </w:pPr>
      <w:r>
        <w:rPr>
          <w:w w:val="120"/>
        </w:rPr>
        <w:t>PARTICIPANTES</w:t>
      </w:r>
      <w:r>
        <w:rPr>
          <w:spacing w:val="24"/>
          <w:w w:val="120"/>
        </w:rPr>
        <w:t> </w:t>
      </w:r>
      <w:r>
        <w:rPr>
          <w:w w:val="120"/>
        </w:rPr>
        <w:t>-</w:t>
      </w:r>
      <w:r>
        <w:rPr>
          <w:spacing w:val="25"/>
          <w:w w:val="120"/>
        </w:rPr>
        <w:t> </w:t>
      </w:r>
      <w:r>
        <w:rPr>
          <w:w w:val="120"/>
        </w:rPr>
        <w:t>SOCIEDADE</w:t>
      </w:r>
      <w:r>
        <w:rPr>
          <w:spacing w:val="25"/>
          <w:w w:val="120"/>
        </w:rPr>
        <w:t> </w:t>
      </w:r>
      <w:r>
        <w:rPr>
          <w:spacing w:val="-2"/>
          <w:w w:val="120"/>
        </w:rPr>
        <w:t>CIVIL:</w:t>
      </w:r>
    </w:p>
    <w:p>
      <w:pPr>
        <w:pStyle w:val="BodyText"/>
        <w:spacing w:line="350" w:lineRule="auto" w:before="130"/>
        <w:ind w:left="244" w:right="5618"/>
      </w:pPr>
      <w:r>
        <w:rPr>
          <w:w w:val="110"/>
        </w:rPr>
        <w:t>André Bafume (participação remota); Ideraldo Luiz (participação remota); Silvia Regina (participação remota); Marco Antônio (participação remota);</w:t>
      </w:r>
    </w:p>
    <w:p>
      <w:pPr>
        <w:pStyle w:val="BodyText"/>
        <w:spacing w:before="134"/>
      </w:pPr>
    </w:p>
    <w:p>
      <w:pPr>
        <w:pStyle w:val="BodyText"/>
        <w:spacing w:line="247" w:lineRule="auto"/>
        <w:ind w:left="244" w:right="544"/>
      </w:pPr>
      <w:r>
        <w:rPr>
          <w:w w:val="110"/>
        </w:rPr>
        <w:t>A reunião da Comissão Eleitoral nº 09 do Conselho Municipal de Políticas LGBT+ foi realizada às 10h11 do dia 17 de agosto de 2026, em formato virtual, com participação remota.</w:t>
      </w:r>
    </w:p>
    <w:p>
      <w:pPr>
        <w:pStyle w:val="BodyText"/>
        <w:spacing w:line="247" w:lineRule="auto" w:before="123"/>
        <w:ind w:left="244" w:right="544"/>
      </w:pPr>
      <w:r>
        <w:rPr>
          <w:w w:val="110"/>
        </w:rPr>
        <w:t>Após a verificação do quórum mínimo necessário, a Rebeca Rodrigues iniciou os trabalhos saudando os presentes e informando que a reunião estava sendo gravada</w:t>
      </w:r>
      <w:r>
        <w:rPr>
          <w:spacing w:val="40"/>
          <w:w w:val="110"/>
        </w:rPr>
        <w:t> </w:t>
      </w:r>
      <w:r>
        <w:rPr>
          <w:w w:val="110"/>
        </w:rPr>
        <w:t>para subsidiar a posterior elaboração da ata.</w:t>
      </w:r>
    </w:p>
    <w:p>
      <w:pPr>
        <w:pStyle w:val="BodyText"/>
        <w:spacing w:before="253"/>
      </w:pPr>
    </w:p>
    <w:p>
      <w:pPr>
        <w:pStyle w:val="Heading2"/>
      </w:pPr>
      <w:r>
        <w:rPr>
          <w:w w:val="120"/>
        </w:rPr>
        <w:t>Alteração</w:t>
      </w:r>
      <w:r>
        <w:rPr>
          <w:spacing w:val="-1"/>
          <w:w w:val="120"/>
        </w:rPr>
        <w:t> </w:t>
      </w:r>
      <w:r>
        <w:rPr>
          <w:w w:val="120"/>
        </w:rPr>
        <w:t>do</w:t>
      </w:r>
      <w:r>
        <w:rPr>
          <w:spacing w:val="-1"/>
          <w:w w:val="120"/>
        </w:rPr>
        <w:t> </w:t>
      </w:r>
      <w:r>
        <w:rPr>
          <w:w w:val="120"/>
        </w:rPr>
        <w:t>Cronograma</w:t>
      </w:r>
      <w:r>
        <w:rPr>
          <w:spacing w:val="-1"/>
          <w:w w:val="120"/>
        </w:rPr>
        <w:t> </w:t>
      </w:r>
      <w:r>
        <w:rPr>
          <w:w w:val="120"/>
        </w:rPr>
        <w:t>Eleitoral e</w:t>
      </w:r>
      <w:r>
        <w:rPr>
          <w:spacing w:val="-1"/>
          <w:w w:val="120"/>
        </w:rPr>
        <w:t> </w:t>
      </w:r>
      <w:r>
        <w:rPr>
          <w:w w:val="120"/>
        </w:rPr>
        <w:t>Prorrogação</w:t>
      </w:r>
      <w:r>
        <w:rPr>
          <w:spacing w:val="-1"/>
          <w:w w:val="120"/>
        </w:rPr>
        <w:t> </w:t>
      </w:r>
      <w:r>
        <w:rPr>
          <w:w w:val="120"/>
        </w:rPr>
        <w:t>do</w:t>
      </w:r>
      <w:r>
        <w:rPr>
          <w:spacing w:val="-1"/>
          <w:w w:val="120"/>
        </w:rPr>
        <w:t> </w:t>
      </w:r>
      <w:r>
        <w:rPr>
          <w:w w:val="120"/>
        </w:rPr>
        <w:t>Prazo de</w:t>
      </w:r>
      <w:r>
        <w:rPr>
          <w:spacing w:val="-1"/>
          <w:w w:val="120"/>
        </w:rPr>
        <w:t> </w:t>
      </w:r>
      <w:r>
        <w:rPr>
          <w:spacing w:val="-2"/>
          <w:w w:val="120"/>
        </w:rPr>
        <w:t>Inscrição</w:t>
      </w:r>
    </w:p>
    <w:p>
      <w:pPr>
        <w:pStyle w:val="BodyText"/>
        <w:spacing w:line="247" w:lineRule="auto" w:before="129"/>
        <w:ind w:left="244" w:right="259"/>
      </w:pPr>
      <w:r>
        <w:rPr>
          <w:w w:val="110"/>
        </w:rPr>
        <w:t>Rebeca agradeceu a colaboração de todos os membros da comissão pela aprovação,</w:t>
      </w:r>
      <w:r>
        <w:rPr>
          <w:spacing w:val="40"/>
          <w:w w:val="110"/>
        </w:rPr>
        <w:t> </w:t>
      </w:r>
      <w:r>
        <w:rPr>
          <w:w w:val="110"/>
        </w:rPr>
        <w:t>por email, da alteração do novo cronograma. Reiterou que a proposta de alteração</w:t>
      </w:r>
      <w:r>
        <w:rPr>
          <w:spacing w:val="80"/>
          <w:w w:val="110"/>
        </w:rPr>
        <w:t> </w:t>
      </w:r>
      <w:r>
        <w:rPr>
          <w:w w:val="110"/>
        </w:rPr>
        <w:t>foi apresentada em razão de a data da eleição prevista no primeiro cronograma publicado coincidir com um período que compreende um ponto facultativo (30/11 – Dia do Servidor Público) e um feriado (02/11 – Finados), motivo pelo qual foi novamente</w:t>
      </w:r>
      <w:r>
        <w:rPr>
          <w:spacing w:val="40"/>
          <w:w w:val="110"/>
        </w:rPr>
        <w:t> </w:t>
      </w:r>
      <w:r>
        <w:rPr>
          <w:w w:val="110"/>
        </w:rPr>
        <w:t>solicitada</w:t>
      </w:r>
      <w:r>
        <w:rPr>
          <w:spacing w:val="40"/>
          <w:w w:val="110"/>
        </w:rPr>
        <w:t> </w:t>
      </w:r>
      <w:r>
        <w:rPr>
          <w:w w:val="110"/>
        </w:rPr>
        <w:t>a</w:t>
      </w:r>
      <w:r>
        <w:rPr>
          <w:spacing w:val="40"/>
          <w:w w:val="110"/>
        </w:rPr>
        <w:t> </w:t>
      </w:r>
      <w:r>
        <w:rPr>
          <w:w w:val="110"/>
        </w:rPr>
        <w:t>aprovação</w:t>
      </w:r>
      <w:r>
        <w:rPr>
          <w:spacing w:val="40"/>
          <w:w w:val="110"/>
        </w:rPr>
        <w:t> </w:t>
      </w:r>
      <w:r>
        <w:rPr>
          <w:w w:val="110"/>
        </w:rPr>
        <w:t>dos</w:t>
      </w:r>
      <w:r>
        <w:rPr>
          <w:spacing w:val="40"/>
          <w:w w:val="110"/>
        </w:rPr>
        <w:t> </w:t>
      </w:r>
      <w:r>
        <w:rPr>
          <w:w w:val="110"/>
        </w:rPr>
        <w:t>membros</w:t>
      </w:r>
      <w:r>
        <w:rPr>
          <w:spacing w:val="40"/>
          <w:w w:val="110"/>
        </w:rPr>
        <w:t> </w:t>
      </w:r>
      <w:r>
        <w:rPr>
          <w:w w:val="110"/>
        </w:rPr>
        <w:t>presentes,</w:t>
      </w:r>
      <w:r>
        <w:rPr>
          <w:spacing w:val="40"/>
          <w:w w:val="110"/>
        </w:rPr>
        <w:t> </w:t>
      </w:r>
      <w:r>
        <w:rPr>
          <w:w w:val="110"/>
        </w:rPr>
        <w:t>que</w:t>
      </w:r>
      <w:r>
        <w:rPr>
          <w:spacing w:val="40"/>
          <w:w w:val="110"/>
        </w:rPr>
        <w:t> </w:t>
      </w:r>
      <w:r>
        <w:rPr>
          <w:w w:val="110"/>
        </w:rPr>
        <w:t>se</w:t>
      </w:r>
      <w:r>
        <w:rPr>
          <w:spacing w:val="40"/>
          <w:w w:val="110"/>
        </w:rPr>
        <w:t> </w:t>
      </w:r>
      <w:r>
        <w:rPr>
          <w:w w:val="110"/>
        </w:rPr>
        <w:t>manifestaram</w:t>
      </w:r>
    </w:p>
    <w:p>
      <w:pPr>
        <w:pStyle w:val="BodyText"/>
        <w:spacing w:after="0" w:line="247" w:lineRule="auto"/>
        <w:sectPr>
          <w:footerReference w:type="default" r:id="rId5"/>
          <w:type w:val="continuous"/>
          <w:pgSz w:w="11900" w:h="16840"/>
          <w:pgMar w:header="0" w:footer="181" w:top="560" w:bottom="380" w:left="566" w:right="566"/>
          <w:pgNumType w:start="1"/>
        </w:sectPr>
      </w:pPr>
    </w:p>
    <w:p>
      <w:pPr>
        <w:pStyle w:val="BodyText"/>
        <w:spacing w:before="72"/>
        <w:ind w:left="244"/>
      </w:pPr>
      <w:r>
        <w:rPr>
          <w:w w:val="110"/>
        </w:rPr>
        <w:t>favoravelmente</w:t>
      </w:r>
      <w:r>
        <w:rPr>
          <w:spacing w:val="8"/>
          <w:w w:val="110"/>
        </w:rPr>
        <w:t> </w:t>
      </w:r>
      <w:r>
        <w:rPr>
          <w:w w:val="110"/>
        </w:rPr>
        <w:t>à</w:t>
      </w:r>
      <w:r>
        <w:rPr>
          <w:spacing w:val="9"/>
          <w:w w:val="110"/>
        </w:rPr>
        <w:t> </w:t>
      </w:r>
      <w:r>
        <w:rPr>
          <w:spacing w:val="-2"/>
          <w:w w:val="110"/>
        </w:rPr>
        <w:t>alteração.</w:t>
      </w:r>
    </w:p>
    <w:p>
      <w:pPr>
        <w:pStyle w:val="BodyText"/>
        <w:spacing w:line="247" w:lineRule="auto" w:before="130"/>
        <w:ind w:left="244" w:right="544"/>
      </w:pPr>
      <w:r>
        <w:rPr>
          <w:w w:val="110"/>
        </w:rPr>
        <w:t>Rebeca ressaltou, ainda, que, após a confirmação da alteração, o próximo passo seria encaminhar ao Departamento de Participação Social (DPS), por meio de processo SEI, a solicitação de publicação do novo cronograma no Diário Oficial. Informou que esse encaminhamento seria realizado ainda naquela data.</w:t>
      </w:r>
    </w:p>
    <w:p>
      <w:pPr>
        <w:pStyle w:val="BodyText"/>
        <w:spacing w:line="247" w:lineRule="auto" w:before="124"/>
        <w:ind w:left="244" w:right="544"/>
      </w:pPr>
      <w:r>
        <w:rPr>
          <w:w w:val="110"/>
        </w:rPr>
        <w:t>Informou-se, também, que Rebeca oficiaria a Coordenadoria de Planejamento e Informação (CPI), a fim de assegurar a manutenção dos formulários eletrônicos de inscrição ativos de forma contínua, sem encerramento no prazo anteriormente </w:t>
      </w:r>
      <w:r>
        <w:rPr>
          <w:spacing w:val="-2"/>
          <w:w w:val="110"/>
        </w:rPr>
        <w:t>previsto.</w:t>
      </w:r>
    </w:p>
    <w:p>
      <w:pPr>
        <w:pStyle w:val="BodyText"/>
        <w:spacing w:before="254"/>
      </w:pPr>
    </w:p>
    <w:p>
      <w:pPr>
        <w:pStyle w:val="Heading2"/>
      </w:pPr>
      <w:r>
        <w:rPr>
          <w:w w:val="120"/>
        </w:rPr>
        <w:t>Balanço</w:t>
      </w:r>
      <w:r>
        <w:rPr>
          <w:spacing w:val="9"/>
          <w:w w:val="120"/>
        </w:rPr>
        <w:t> </w:t>
      </w:r>
      <w:r>
        <w:rPr>
          <w:w w:val="120"/>
        </w:rPr>
        <w:t>Situacional</w:t>
      </w:r>
      <w:r>
        <w:rPr>
          <w:spacing w:val="10"/>
          <w:w w:val="120"/>
        </w:rPr>
        <w:t> </w:t>
      </w:r>
      <w:r>
        <w:rPr>
          <w:w w:val="120"/>
        </w:rPr>
        <w:t>e</w:t>
      </w:r>
      <w:r>
        <w:rPr>
          <w:spacing w:val="10"/>
          <w:w w:val="120"/>
        </w:rPr>
        <w:t> </w:t>
      </w:r>
      <w:r>
        <w:rPr>
          <w:w w:val="120"/>
        </w:rPr>
        <w:t>Análise</w:t>
      </w:r>
      <w:r>
        <w:rPr>
          <w:spacing w:val="9"/>
          <w:w w:val="120"/>
        </w:rPr>
        <w:t> </w:t>
      </w:r>
      <w:r>
        <w:rPr>
          <w:w w:val="120"/>
        </w:rPr>
        <w:t>das</w:t>
      </w:r>
      <w:r>
        <w:rPr>
          <w:spacing w:val="10"/>
          <w:w w:val="120"/>
        </w:rPr>
        <w:t> </w:t>
      </w:r>
      <w:r>
        <w:rPr>
          <w:spacing w:val="-2"/>
          <w:w w:val="120"/>
        </w:rPr>
        <w:t>Candidaturas</w:t>
      </w:r>
    </w:p>
    <w:p>
      <w:pPr>
        <w:pStyle w:val="BodyText"/>
        <w:spacing w:line="247" w:lineRule="auto" w:before="129"/>
        <w:ind w:left="244" w:right="418"/>
      </w:pPr>
      <w:r>
        <w:rPr>
          <w:w w:val="110"/>
        </w:rPr>
        <w:t>Procedeu-se ao compartilhamento de tela para a apresentação da planilha de controle de candidatos e votantes, desenvolvida em conjunto com o apoio técnico. Na ocasião, constatou-se o número de candidatos inscritos até o momento, observando-se um incremento em relação ao balanço anterior. Os casos de indeferimento foram apresentados, detalhados e deliberados individualmente pelos membros da comissão.</w:t>
      </w:r>
    </w:p>
    <w:p>
      <w:pPr>
        <w:pStyle w:val="BodyText"/>
        <w:spacing w:before="256"/>
      </w:pPr>
    </w:p>
    <w:p>
      <w:pPr>
        <w:pStyle w:val="Heading2"/>
      </w:pPr>
      <w:r>
        <w:rPr>
          <w:w w:val="120"/>
        </w:rPr>
        <w:t>Análise</w:t>
      </w:r>
      <w:r>
        <w:rPr>
          <w:spacing w:val="4"/>
          <w:w w:val="120"/>
        </w:rPr>
        <w:t> </w:t>
      </w:r>
      <w:r>
        <w:rPr>
          <w:w w:val="120"/>
        </w:rPr>
        <w:t>das</w:t>
      </w:r>
      <w:r>
        <w:rPr>
          <w:spacing w:val="5"/>
          <w:w w:val="120"/>
        </w:rPr>
        <w:t> </w:t>
      </w:r>
      <w:r>
        <w:rPr>
          <w:w w:val="120"/>
        </w:rPr>
        <w:t>Inscrições</w:t>
      </w:r>
      <w:r>
        <w:rPr>
          <w:spacing w:val="5"/>
          <w:w w:val="120"/>
        </w:rPr>
        <w:t> </w:t>
      </w:r>
      <w:r>
        <w:rPr>
          <w:w w:val="120"/>
        </w:rPr>
        <w:t>de</w:t>
      </w:r>
      <w:r>
        <w:rPr>
          <w:spacing w:val="5"/>
          <w:w w:val="120"/>
        </w:rPr>
        <w:t> </w:t>
      </w:r>
      <w:r>
        <w:rPr>
          <w:w w:val="120"/>
        </w:rPr>
        <w:t>Votantes</w:t>
      </w:r>
      <w:r>
        <w:rPr>
          <w:spacing w:val="5"/>
          <w:w w:val="120"/>
        </w:rPr>
        <w:t> </w:t>
      </w:r>
      <w:r>
        <w:rPr>
          <w:w w:val="120"/>
        </w:rPr>
        <w:t>e</w:t>
      </w:r>
      <w:r>
        <w:rPr>
          <w:spacing w:val="5"/>
          <w:w w:val="120"/>
        </w:rPr>
        <w:t> </w:t>
      </w:r>
      <w:r>
        <w:rPr>
          <w:w w:val="120"/>
        </w:rPr>
        <w:t>Critérios</w:t>
      </w:r>
      <w:r>
        <w:rPr>
          <w:spacing w:val="4"/>
          <w:w w:val="120"/>
        </w:rPr>
        <w:t> </w:t>
      </w:r>
      <w:r>
        <w:rPr>
          <w:w w:val="120"/>
        </w:rPr>
        <w:t>de</w:t>
      </w:r>
      <w:r>
        <w:rPr>
          <w:spacing w:val="5"/>
          <w:w w:val="120"/>
        </w:rPr>
        <w:t> </w:t>
      </w:r>
      <w:r>
        <w:rPr>
          <w:spacing w:val="-2"/>
          <w:w w:val="120"/>
        </w:rPr>
        <w:t>Homologação</w:t>
      </w:r>
    </w:p>
    <w:p>
      <w:pPr>
        <w:pStyle w:val="BodyText"/>
        <w:spacing w:line="247" w:lineRule="auto" w:before="129"/>
        <w:ind w:left="244" w:right="544"/>
      </w:pPr>
      <w:r>
        <w:rPr>
          <w:w w:val="110"/>
        </w:rPr>
        <w:t>Apresentou-se o balanço referente ao segmento de votantes/eleitores. Na ocasião, os representantes da sociedade civil sugeriram a adoção de medidas que</w:t>
      </w:r>
      <w:r>
        <w:rPr>
          <w:spacing w:val="40"/>
          <w:w w:val="110"/>
        </w:rPr>
        <w:t> </w:t>
      </w:r>
      <w:r>
        <w:rPr>
          <w:w w:val="110"/>
        </w:rPr>
        <w:t>possibilitem conferir maior flexibilidade às análises, com o objetivo de ampliar a participação social e evitar exclusões decorrentes de questões formais passíveis de saneamento. Ressaltou-se, contudo, a necessidade de que os procedimentos de análise e habilitação observem rigorosamente as disposições estabelecidas no</w:t>
      </w:r>
      <w:r>
        <w:rPr>
          <w:spacing w:val="80"/>
          <w:w w:val="110"/>
        </w:rPr>
        <w:t> </w:t>
      </w:r>
      <w:r>
        <w:rPr>
          <w:spacing w:val="-2"/>
          <w:w w:val="110"/>
        </w:rPr>
        <w:t>Edital.</w:t>
      </w:r>
    </w:p>
    <w:p>
      <w:pPr>
        <w:pStyle w:val="BodyText"/>
        <w:spacing w:before="257"/>
      </w:pPr>
    </w:p>
    <w:p>
      <w:pPr>
        <w:pStyle w:val="Heading2"/>
      </w:pPr>
      <w:r>
        <w:rPr>
          <w:w w:val="120"/>
        </w:rPr>
        <w:t>Divulgação</w:t>
      </w:r>
      <w:r>
        <w:rPr>
          <w:spacing w:val="8"/>
          <w:w w:val="120"/>
        </w:rPr>
        <w:t> </w:t>
      </w:r>
      <w:r>
        <w:rPr>
          <w:w w:val="120"/>
        </w:rPr>
        <w:t>das</w:t>
      </w:r>
      <w:r>
        <w:rPr>
          <w:spacing w:val="8"/>
          <w:w w:val="120"/>
        </w:rPr>
        <w:t> </w:t>
      </w:r>
      <w:r>
        <w:rPr>
          <w:w w:val="120"/>
        </w:rPr>
        <w:t>Eleições</w:t>
      </w:r>
      <w:r>
        <w:rPr>
          <w:spacing w:val="8"/>
          <w:w w:val="120"/>
        </w:rPr>
        <w:t> </w:t>
      </w:r>
      <w:r>
        <w:rPr>
          <w:w w:val="120"/>
        </w:rPr>
        <w:t>e</w:t>
      </w:r>
      <w:r>
        <w:rPr>
          <w:spacing w:val="8"/>
          <w:w w:val="120"/>
        </w:rPr>
        <w:t> </w:t>
      </w:r>
      <w:r>
        <w:rPr>
          <w:w w:val="120"/>
        </w:rPr>
        <w:t>Ações</w:t>
      </w:r>
      <w:r>
        <w:rPr>
          <w:spacing w:val="8"/>
          <w:w w:val="120"/>
        </w:rPr>
        <w:t> </w:t>
      </w:r>
      <w:r>
        <w:rPr>
          <w:w w:val="120"/>
        </w:rPr>
        <w:t>de</w:t>
      </w:r>
      <w:r>
        <w:rPr>
          <w:spacing w:val="8"/>
          <w:w w:val="120"/>
        </w:rPr>
        <w:t> </w:t>
      </w:r>
      <w:r>
        <w:rPr>
          <w:spacing w:val="-2"/>
          <w:w w:val="120"/>
        </w:rPr>
        <w:t>Comunicação</w:t>
      </w:r>
    </w:p>
    <w:p>
      <w:pPr>
        <w:pStyle w:val="BodyText"/>
        <w:spacing w:line="247" w:lineRule="auto" w:before="130"/>
        <w:ind w:left="244" w:right="403"/>
      </w:pPr>
      <w:r>
        <w:rPr>
          <w:w w:val="110"/>
        </w:rPr>
        <w:t>Por fim, debateu-se a estratégia de comunicação para publicizar as alterações do cronograma eleitoral. A presidência recomendou que o impulsionamento das publicações nas redes sociais, em especial no Instagram da secretaria, seja iniciado imediatamente após a publicação oficial no Diário Oficial do Município, a fim de garantir a uniformidade das informações. Os conselheiros da sociedade civil comprometeram-se a intensificar a mobilização social e a divulgação das novas</w:t>
      </w:r>
      <w:r>
        <w:rPr>
          <w:spacing w:val="80"/>
          <w:w w:val="110"/>
        </w:rPr>
        <w:t> </w:t>
      </w:r>
      <w:r>
        <w:rPr>
          <w:w w:val="110"/>
        </w:rPr>
        <w:t>datas nos grupos de WhatsApp, coletivos de militância e redes de contato.</w:t>
      </w:r>
    </w:p>
    <w:p>
      <w:pPr>
        <w:pStyle w:val="BodyText"/>
        <w:spacing w:line="247" w:lineRule="auto" w:before="127"/>
        <w:ind w:left="244" w:right="544"/>
      </w:pPr>
      <w:r>
        <w:rPr>
          <w:w w:val="110"/>
        </w:rPr>
        <w:t>Nada mais havendo a tratar, a reunião foi encerrada por volta das 10h40, ficando estabelecido que a presente ata será encaminhada aos participantes para apreciação e posterior aprovação.</w:t>
      </w:r>
    </w:p>
    <w:p>
      <w:pPr>
        <w:pStyle w:val="BodyText"/>
        <w:spacing w:before="252"/>
      </w:pPr>
    </w:p>
    <w:p>
      <w:pPr>
        <w:pStyle w:val="Heading2"/>
        <w:spacing w:before="1"/>
      </w:pPr>
      <w:r>
        <w:rPr>
          <w:spacing w:val="-2"/>
          <w:w w:val="120"/>
        </w:rPr>
        <w:t>Encaminhamentos:</w:t>
      </w:r>
    </w:p>
    <w:p>
      <w:pPr>
        <w:pStyle w:val="ListParagraph"/>
        <w:numPr>
          <w:ilvl w:val="0"/>
          <w:numId w:val="1"/>
        </w:numPr>
        <w:tabs>
          <w:tab w:pos="460" w:val="left" w:leader="none"/>
        </w:tabs>
        <w:spacing w:line="247" w:lineRule="auto" w:before="129" w:after="0"/>
        <w:ind w:left="244" w:right="454" w:firstLine="0"/>
        <w:jc w:val="left"/>
        <w:rPr>
          <w:sz w:val="24"/>
        </w:rPr>
      </w:pPr>
      <w:r>
        <w:rPr>
          <w:w w:val="110"/>
          <w:sz w:val="24"/>
        </w:rPr>
        <w:t>DPS/SEI: Encaminhamento, pela Rebeca, da solicitação técnica via sistema SEI ao Departamento de Participação Social (DPS) para a publicação oficial do novo cronograma no Diário Oficial da Cidade;</w:t>
      </w:r>
    </w:p>
    <w:p>
      <w:pPr>
        <w:pStyle w:val="ListParagraph"/>
        <w:numPr>
          <w:ilvl w:val="0"/>
          <w:numId w:val="1"/>
        </w:numPr>
        <w:tabs>
          <w:tab w:pos="460" w:val="left" w:leader="none"/>
        </w:tabs>
        <w:spacing w:line="247" w:lineRule="auto" w:before="123" w:after="0"/>
        <w:ind w:left="244" w:right="1525" w:firstLine="0"/>
        <w:jc w:val="left"/>
        <w:rPr>
          <w:sz w:val="24"/>
        </w:rPr>
      </w:pPr>
      <w:r>
        <w:rPr>
          <w:w w:val="110"/>
          <w:sz w:val="24"/>
        </w:rPr>
        <w:t>Manutenção de Formulários: Oficiar a Coordenadoria de Planejamento e Informação (CPI) para impedir o encerramento automático dos formulários eletrônicos de inscrição;</w:t>
      </w:r>
    </w:p>
    <w:p>
      <w:pPr>
        <w:pStyle w:val="ListParagraph"/>
        <w:numPr>
          <w:ilvl w:val="0"/>
          <w:numId w:val="1"/>
        </w:numPr>
        <w:tabs>
          <w:tab w:pos="460" w:val="left" w:leader="none"/>
        </w:tabs>
        <w:spacing w:line="240" w:lineRule="auto" w:before="123" w:after="0"/>
        <w:ind w:left="460" w:right="0" w:hanging="216"/>
        <w:jc w:val="left"/>
        <w:rPr>
          <w:sz w:val="24"/>
        </w:rPr>
      </w:pPr>
      <w:r>
        <w:rPr>
          <w:w w:val="110"/>
          <w:sz w:val="24"/>
        </w:rPr>
        <w:t>Centros</w:t>
      </w:r>
      <w:r>
        <w:rPr>
          <w:spacing w:val="-2"/>
          <w:w w:val="110"/>
          <w:sz w:val="24"/>
        </w:rPr>
        <w:t> </w:t>
      </w:r>
      <w:r>
        <w:rPr>
          <w:w w:val="110"/>
          <w:sz w:val="24"/>
        </w:rPr>
        <w:t>de</w:t>
      </w:r>
      <w:r>
        <w:rPr>
          <w:spacing w:val="-2"/>
          <w:w w:val="110"/>
          <w:sz w:val="24"/>
        </w:rPr>
        <w:t> </w:t>
      </w:r>
      <w:r>
        <w:rPr>
          <w:w w:val="110"/>
          <w:sz w:val="24"/>
        </w:rPr>
        <w:t>Referência:</w:t>
      </w:r>
      <w:r>
        <w:rPr>
          <w:spacing w:val="-2"/>
          <w:w w:val="110"/>
          <w:sz w:val="24"/>
        </w:rPr>
        <w:t> </w:t>
      </w:r>
      <w:r>
        <w:rPr>
          <w:w w:val="110"/>
          <w:sz w:val="24"/>
        </w:rPr>
        <w:t>Notificar</w:t>
      </w:r>
      <w:r>
        <w:rPr>
          <w:spacing w:val="-1"/>
          <w:w w:val="110"/>
          <w:sz w:val="24"/>
        </w:rPr>
        <w:t> </w:t>
      </w:r>
      <w:r>
        <w:rPr>
          <w:w w:val="110"/>
          <w:sz w:val="24"/>
        </w:rPr>
        <w:t>formalmente</w:t>
      </w:r>
      <w:r>
        <w:rPr>
          <w:spacing w:val="-2"/>
          <w:w w:val="110"/>
          <w:sz w:val="24"/>
        </w:rPr>
        <w:t> </w:t>
      </w:r>
      <w:r>
        <w:rPr>
          <w:w w:val="110"/>
          <w:sz w:val="24"/>
        </w:rPr>
        <w:t>os</w:t>
      </w:r>
      <w:r>
        <w:rPr>
          <w:spacing w:val="-2"/>
          <w:w w:val="110"/>
          <w:sz w:val="24"/>
        </w:rPr>
        <w:t> </w:t>
      </w:r>
      <w:r>
        <w:rPr>
          <w:w w:val="110"/>
          <w:sz w:val="24"/>
        </w:rPr>
        <w:t>Centros</w:t>
      </w:r>
      <w:r>
        <w:rPr>
          <w:spacing w:val="-1"/>
          <w:w w:val="110"/>
          <w:sz w:val="24"/>
        </w:rPr>
        <w:t> </w:t>
      </w:r>
      <w:r>
        <w:rPr>
          <w:w w:val="110"/>
          <w:sz w:val="24"/>
        </w:rPr>
        <w:t>de</w:t>
      </w:r>
      <w:r>
        <w:rPr>
          <w:spacing w:val="-2"/>
          <w:w w:val="110"/>
          <w:sz w:val="24"/>
        </w:rPr>
        <w:t> </w:t>
      </w:r>
      <w:r>
        <w:rPr>
          <w:w w:val="110"/>
          <w:sz w:val="24"/>
        </w:rPr>
        <w:t>Referência</w:t>
      </w:r>
      <w:r>
        <w:rPr>
          <w:spacing w:val="-2"/>
          <w:w w:val="110"/>
          <w:sz w:val="24"/>
        </w:rPr>
        <w:t> LGBTI+</w:t>
      </w:r>
    </w:p>
    <w:p>
      <w:pPr>
        <w:pStyle w:val="ListParagraph"/>
        <w:spacing w:after="0" w:line="240" w:lineRule="auto"/>
        <w:jc w:val="left"/>
        <w:rPr>
          <w:sz w:val="24"/>
        </w:rPr>
        <w:sectPr>
          <w:pgSz w:w="11900" w:h="16840"/>
          <w:pgMar w:header="0" w:footer="181" w:top="500" w:bottom="380" w:left="566" w:right="566"/>
        </w:sectPr>
      </w:pPr>
    </w:p>
    <w:p>
      <w:pPr>
        <w:pStyle w:val="BodyText"/>
        <w:spacing w:before="72"/>
        <w:ind w:left="244"/>
      </w:pPr>
      <w:r>
        <w:rPr>
          <w:spacing w:val="-2"/>
          <w:w w:val="115"/>
        </w:rPr>
        <w:t>(CRLGBTI+)</w:t>
      </w:r>
      <w:r>
        <w:rPr>
          <w:spacing w:val="-12"/>
          <w:w w:val="115"/>
        </w:rPr>
        <w:t> </w:t>
      </w:r>
      <w:r>
        <w:rPr>
          <w:spacing w:val="-2"/>
          <w:w w:val="115"/>
        </w:rPr>
        <w:t>a</w:t>
      </w:r>
      <w:r>
        <w:rPr>
          <w:spacing w:val="-11"/>
          <w:w w:val="115"/>
        </w:rPr>
        <w:t> </w:t>
      </w:r>
      <w:r>
        <w:rPr>
          <w:spacing w:val="-2"/>
          <w:w w:val="115"/>
        </w:rPr>
        <w:t>respeito</w:t>
      </w:r>
      <w:r>
        <w:rPr>
          <w:spacing w:val="-11"/>
          <w:w w:val="115"/>
        </w:rPr>
        <w:t> </w:t>
      </w:r>
      <w:r>
        <w:rPr>
          <w:spacing w:val="-2"/>
          <w:w w:val="115"/>
        </w:rPr>
        <w:t>da</w:t>
      </w:r>
      <w:r>
        <w:rPr>
          <w:spacing w:val="-12"/>
          <w:w w:val="115"/>
        </w:rPr>
        <w:t> </w:t>
      </w:r>
      <w:r>
        <w:rPr>
          <w:spacing w:val="-2"/>
          <w:w w:val="115"/>
        </w:rPr>
        <w:t>prorrogação</w:t>
      </w:r>
      <w:r>
        <w:rPr>
          <w:spacing w:val="-11"/>
          <w:w w:val="115"/>
        </w:rPr>
        <w:t> </w:t>
      </w:r>
      <w:r>
        <w:rPr>
          <w:spacing w:val="-2"/>
          <w:w w:val="115"/>
        </w:rPr>
        <w:t>do</w:t>
      </w:r>
      <w:r>
        <w:rPr>
          <w:spacing w:val="-11"/>
          <w:w w:val="115"/>
        </w:rPr>
        <w:t> </w:t>
      </w:r>
      <w:r>
        <w:rPr>
          <w:spacing w:val="-2"/>
          <w:w w:val="115"/>
        </w:rPr>
        <w:t>período</w:t>
      </w:r>
      <w:r>
        <w:rPr>
          <w:spacing w:val="-11"/>
          <w:w w:val="115"/>
        </w:rPr>
        <w:t> </w:t>
      </w:r>
      <w:r>
        <w:rPr>
          <w:spacing w:val="-2"/>
          <w:w w:val="115"/>
        </w:rPr>
        <w:t>de</w:t>
      </w:r>
      <w:r>
        <w:rPr>
          <w:spacing w:val="-12"/>
          <w:w w:val="115"/>
        </w:rPr>
        <w:t> </w:t>
      </w:r>
      <w:r>
        <w:rPr>
          <w:spacing w:val="-2"/>
          <w:w w:val="115"/>
        </w:rPr>
        <w:t>inscrições;</w:t>
      </w:r>
    </w:p>
    <w:p>
      <w:pPr>
        <w:pStyle w:val="ListParagraph"/>
        <w:numPr>
          <w:ilvl w:val="0"/>
          <w:numId w:val="1"/>
        </w:numPr>
        <w:tabs>
          <w:tab w:pos="460" w:val="left" w:leader="none"/>
        </w:tabs>
        <w:spacing w:line="247" w:lineRule="auto" w:before="130" w:after="0"/>
        <w:ind w:left="244" w:right="698" w:firstLine="0"/>
        <w:jc w:val="left"/>
        <w:rPr>
          <w:sz w:val="24"/>
        </w:rPr>
      </w:pPr>
      <w:r>
        <w:rPr>
          <w:w w:val="110"/>
          <w:sz w:val="24"/>
        </w:rPr>
        <w:t>Planilha Técnica: Atualizar e consolidar a planilha técnica contendo a fundamentação detalhada dos deferimentos e indeferimentos das candidaturas e inscrições de votantes analisadas;</w:t>
      </w:r>
    </w:p>
    <w:p>
      <w:pPr>
        <w:pStyle w:val="ListParagraph"/>
        <w:numPr>
          <w:ilvl w:val="0"/>
          <w:numId w:val="1"/>
        </w:numPr>
        <w:tabs>
          <w:tab w:pos="460" w:val="left" w:leader="none"/>
        </w:tabs>
        <w:spacing w:line="247" w:lineRule="auto" w:before="123" w:after="0"/>
        <w:ind w:left="244" w:right="529" w:firstLine="0"/>
        <w:jc w:val="left"/>
        <w:rPr>
          <w:sz w:val="24"/>
        </w:rPr>
      </w:pPr>
      <w:r>
        <w:rPr>
          <w:w w:val="110"/>
          <w:sz w:val="24"/>
        </w:rPr>
        <w:t>Divulgação Oficial: Divulgar amplamente o novo cronograma no perfil do Instagram da SMDHC e nos demais canais oficiais após a publicação no Diário</w:t>
      </w:r>
      <w:r>
        <w:rPr>
          <w:spacing w:val="40"/>
          <w:w w:val="110"/>
          <w:sz w:val="24"/>
        </w:rPr>
        <w:t> </w:t>
      </w:r>
      <w:r>
        <w:rPr>
          <w:w w:val="110"/>
          <w:sz w:val="24"/>
        </w:rPr>
        <w:t>Oficial; • Mobilização Social: Mobilização proativa, pelos conselheiros da sociedade civil, de suas respectivas bases e grupos de militância para divulgação do novo prazo de inscrição.</w:t>
      </w: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spacing w:before="4"/>
        <w:rPr>
          <w:sz w:val="21"/>
        </w:rPr>
      </w:pPr>
    </w:p>
    <w:p>
      <w:pPr>
        <w:spacing w:line="259" w:lineRule="auto" w:before="0"/>
        <w:ind w:left="3593" w:right="923" w:firstLine="0"/>
        <w:jc w:val="left"/>
        <w:rPr>
          <w:b/>
          <w:sz w:val="21"/>
        </w:rPr>
      </w:pPr>
      <w:r>
        <w:rPr>
          <w:b/>
          <w:sz w:val="21"/>
        </w:rPr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1726310</wp:posOffset>
            </wp:positionH>
            <wp:positionV relativeFrom="paragraph">
              <wp:posOffset>-49928</wp:posOffset>
            </wp:positionV>
            <wp:extent cx="884166" cy="556415"/>
            <wp:effectExtent l="0" t="0" r="0" b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4166" cy="556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w w:val="125"/>
          <w:sz w:val="21"/>
        </w:rPr>
        <w:t>Rebeca</w:t>
      </w:r>
      <w:r>
        <w:rPr>
          <w:b/>
          <w:spacing w:val="-11"/>
          <w:w w:val="125"/>
          <w:sz w:val="21"/>
        </w:rPr>
        <w:t> </w:t>
      </w:r>
      <w:r>
        <w:rPr>
          <w:b/>
          <w:w w:val="125"/>
          <w:sz w:val="21"/>
        </w:rPr>
        <w:t>Rodrigues</w:t>
      </w:r>
      <w:r>
        <w:rPr>
          <w:b/>
          <w:spacing w:val="-11"/>
          <w:w w:val="125"/>
          <w:sz w:val="21"/>
        </w:rPr>
        <w:t> </w:t>
      </w:r>
      <w:r>
        <w:rPr>
          <w:b/>
          <w:w w:val="125"/>
          <w:sz w:val="21"/>
        </w:rPr>
        <w:t>Fernandes</w:t>
      </w:r>
      <w:r>
        <w:rPr>
          <w:b/>
          <w:spacing w:val="-11"/>
          <w:w w:val="125"/>
          <w:sz w:val="21"/>
        </w:rPr>
        <w:t> </w:t>
      </w:r>
      <w:r>
        <w:rPr>
          <w:b/>
          <w:w w:val="125"/>
          <w:sz w:val="21"/>
        </w:rPr>
        <w:t>de</w:t>
      </w:r>
      <w:r>
        <w:rPr>
          <w:b/>
          <w:spacing w:val="-11"/>
          <w:w w:val="125"/>
          <w:sz w:val="21"/>
        </w:rPr>
        <w:t> </w:t>
      </w:r>
      <w:r>
        <w:rPr>
          <w:b/>
          <w:w w:val="125"/>
          <w:sz w:val="21"/>
        </w:rPr>
        <w:t>Oliveira Assessor(a) III</w:t>
      </w:r>
    </w:p>
    <w:p>
      <w:pPr>
        <w:spacing w:before="1"/>
        <w:ind w:left="3593" w:right="0" w:firstLine="0"/>
        <w:jc w:val="left"/>
        <w:rPr>
          <w:sz w:val="21"/>
        </w:rPr>
      </w:pPr>
      <w:r>
        <w:rPr>
          <w:w w:val="115"/>
          <w:sz w:val="21"/>
        </w:rPr>
        <w:t>Em</w:t>
      </w:r>
      <w:r>
        <w:rPr>
          <w:spacing w:val="-13"/>
          <w:w w:val="115"/>
          <w:sz w:val="21"/>
        </w:rPr>
        <w:t> </w:t>
      </w:r>
      <w:r>
        <w:rPr>
          <w:w w:val="115"/>
          <w:sz w:val="21"/>
        </w:rPr>
        <w:t>17/08/2026,</w:t>
      </w:r>
      <w:r>
        <w:rPr>
          <w:spacing w:val="-13"/>
          <w:w w:val="115"/>
          <w:sz w:val="21"/>
        </w:rPr>
        <w:t> </w:t>
      </w:r>
      <w:r>
        <w:rPr>
          <w:w w:val="115"/>
          <w:sz w:val="21"/>
        </w:rPr>
        <w:t>às</w:t>
      </w:r>
      <w:r>
        <w:rPr>
          <w:spacing w:val="-13"/>
          <w:w w:val="115"/>
          <w:sz w:val="21"/>
        </w:rPr>
        <w:t> </w:t>
      </w:r>
      <w:r>
        <w:rPr>
          <w:spacing w:val="-2"/>
          <w:w w:val="115"/>
          <w:sz w:val="21"/>
        </w:rPr>
        <w:t>15:59.</w:t>
      </w:r>
    </w:p>
    <w:p>
      <w:pPr>
        <w:pStyle w:val="BodyText"/>
        <w:spacing w:before="5"/>
        <w:rPr>
          <w:sz w:val="8"/>
        </w:rPr>
      </w:pPr>
      <w:r>
        <w:rPr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438171</wp:posOffset>
                </wp:positionH>
                <wp:positionV relativeFrom="paragraph">
                  <wp:posOffset>77543</wp:posOffset>
                </wp:positionV>
                <wp:extent cx="6677025" cy="15240"/>
                <wp:effectExtent l="0" t="0" r="0" b="0"/>
                <wp:wrapTopAndBottom/>
                <wp:docPr id="7" name="Group 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" name="Group 7"/>
                      <wpg:cNvGrpSpPr/>
                      <wpg:grpSpPr>
                        <a:xfrm>
                          <a:off x="0" y="0"/>
                          <a:ext cx="6677025" cy="15240"/>
                          <a:chExt cx="6677025" cy="1524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667702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7025" h="7620">
                                <a:moveTo>
                                  <a:pt x="6669360" y="7622"/>
                                </a:moveTo>
                                <a:lnTo>
                                  <a:pt x="0" y="7622"/>
                                </a:lnTo>
                                <a:lnTo>
                                  <a:pt x="0" y="0"/>
                                </a:lnTo>
                                <a:lnTo>
                                  <a:pt x="6676982" y="0"/>
                                </a:lnTo>
                                <a:lnTo>
                                  <a:pt x="6669360" y="76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7622"/>
                            <a:ext cx="667702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7025" h="7620">
                                <a:moveTo>
                                  <a:pt x="6676982" y="7622"/>
                                </a:moveTo>
                                <a:lnTo>
                                  <a:pt x="0" y="7622"/>
                                </a:lnTo>
                                <a:lnTo>
                                  <a:pt x="7622" y="0"/>
                                </a:lnTo>
                                <a:lnTo>
                                  <a:pt x="6676982" y="0"/>
                                </a:lnTo>
                                <a:lnTo>
                                  <a:pt x="6676982" y="76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244"/>
                                </a:moveTo>
                                <a:lnTo>
                                  <a:pt x="0" y="0"/>
                                </a:lnTo>
                                <a:lnTo>
                                  <a:pt x="7622" y="0"/>
                                </a:lnTo>
                                <a:lnTo>
                                  <a:pt x="7622" y="7622"/>
                                </a:lnTo>
                                <a:lnTo>
                                  <a:pt x="0" y="152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666936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622" y="15244"/>
                                </a:moveTo>
                                <a:lnTo>
                                  <a:pt x="0" y="15244"/>
                                </a:lnTo>
                                <a:lnTo>
                                  <a:pt x="0" y="7622"/>
                                </a:lnTo>
                                <a:lnTo>
                                  <a:pt x="7622" y="0"/>
                                </a:lnTo>
                                <a:lnTo>
                                  <a:pt x="7622" y="152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501675pt;margin-top:6.105771pt;width:525.75pt;height:1.2pt;mso-position-horizontal-relative:page;mso-position-vertical-relative:paragraph;z-index:-15728128;mso-wrap-distance-left:0;mso-wrap-distance-right:0" id="docshapegroup6" coordorigin="690,122" coordsize="10515,24">
                <v:shape style="position:absolute;left:690;top:122;width:10515;height:12" id="docshape7" coordorigin="690,122" coordsize="10515,12" path="m11193,134l690,134,690,122,11205,122,11193,134xe" filled="true" fillcolor="#999999" stroked="false">
                  <v:path arrowok="t"/>
                  <v:fill type="solid"/>
                </v:shape>
                <v:shape style="position:absolute;left:690;top:134;width:10515;height:12" id="docshape8" coordorigin="690,134" coordsize="10515,12" path="m11205,146l690,146,702,134,11205,134,11205,146xe" filled="true" fillcolor="#ededed" stroked="false">
                  <v:path arrowok="t"/>
                  <v:fill type="solid"/>
                </v:shape>
                <v:shape style="position:absolute;left:690;top:122;width:12;height:24" id="docshape9" coordorigin="690,122" coordsize="12,24" path="m690,146l690,122,702,122,702,134,690,146xe" filled="true" fillcolor="#999999" stroked="false">
                  <v:path arrowok="t"/>
                  <v:fill type="solid"/>
                </v:shape>
                <v:shape style="position:absolute;left:11192;top:122;width:12;height:24" id="docshape10" coordorigin="11193,122" coordsize="12,24" path="m11205,146l11193,146,11193,134,11205,122,11205,146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spacing w:line="259" w:lineRule="auto" w:before="103" w:after="43"/>
        <w:ind w:left="160" w:right="544" w:firstLine="0"/>
        <w:jc w:val="left"/>
        <w:rPr>
          <w:sz w:val="21"/>
        </w:rPr>
      </w:pPr>
      <w:r>
        <w:rPr>
          <w:w w:val="110"/>
          <w:sz w:val="21"/>
        </w:rPr>
        <w:t>A autenticidade deste documento pode ser conferida no site</w:t>
      </w:r>
      <w:r>
        <w:rPr>
          <w:spacing w:val="40"/>
          <w:w w:val="110"/>
          <w:sz w:val="21"/>
        </w:rPr>
        <w:t> </w:t>
      </w:r>
      <w:hyperlink r:id="rId8">
        <w:r>
          <w:rPr>
            <w:w w:val="110"/>
            <w:sz w:val="21"/>
          </w:rPr>
          <w:t>http://processos.prefeitura.sp.gov.br</w:t>
        </w:r>
      </w:hyperlink>
      <w:r>
        <w:rPr>
          <w:w w:val="110"/>
          <w:sz w:val="21"/>
        </w:rPr>
        <w:t>, informando o código verificador </w:t>
      </w:r>
      <w:r>
        <w:rPr>
          <w:b/>
          <w:w w:val="110"/>
          <w:sz w:val="21"/>
        </w:rPr>
        <w:t>163227581 </w:t>
      </w:r>
      <w:r>
        <w:rPr>
          <w:w w:val="110"/>
          <w:sz w:val="21"/>
        </w:rPr>
        <w:t>e o código</w:t>
      </w:r>
      <w:r>
        <w:rPr>
          <w:spacing w:val="40"/>
          <w:w w:val="110"/>
          <w:sz w:val="21"/>
        </w:rPr>
        <w:t> </w:t>
      </w:r>
      <w:r>
        <w:rPr>
          <w:w w:val="110"/>
          <w:sz w:val="21"/>
        </w:rPr>
        <w:t>CRC </w:t>
      </w:r>
      <w:r>
        <w:rPr>
          <w:b/>
          <w:w w:val="110"/>
          <w:sz w:val="21"/>
        </w:rPr>
        <w:t>38F215FE</w:t>
      </w:r>
      <w:r>
        <w:rPr>
          <w:w w:val="110"/>
          <w:sz w:val="21"/>
        </w:rPr>
        <w:t>.</w:t>
      </w:r>
    </w:p>
    <w:p>
      <w:pPr>
        <w:spacing w:line="24" w:lineRule="exact"/>
        <w:ind w:left="136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661784" cy="15240"/>
                <wp:effectExtent l="0" t="0" r="0" b="3810"/>
                <wp:docPr id="12" name="Group 1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" name="Group 12"/>
                      <wpg:cNvGrpSpPr/>
                      <wpg:grpSpPr>
                        <a:xfrm>
                          <a:off x="0" y="0"/>
                          <a:ext cx="6661784" cy="15240"/>
                          <a:chExt cx="6661784" cy="1524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0"/>
                            <a:ext cx="6661784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1784" h="7620">
                                <a:moveTo>
                                  <a:pt x="6654116" y="7622"/>
                                </a:moveTo>
                                <a:lnTo>
                                  <a:pt x="0" y="7622"/>
                                </a:lnTo>
                                <a:lnTo>
                                  <a:pt x="0" y="0"/>
                                </a:lnTo>
                                <a:lnTo>
                                  <a:pt x="6661738" y="0"/>
                                </a:lnTo>
                                <a:lnTo>
                                  <a:pt x="6654116" y="76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0" y="7622"/>
                            <a:ext cx="6661784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1784" h="7620">
                                <a:moveTo>
                                  <a:pt x="6661738" y="7622"/>
                                </a:moveTo>
                                <a:lnTo>
                                  <a:pt x="0" y="7622"/>
                                </a:lnTo>
                                <a:lnTo>
                                  <a:pt x="7622" y="0"/>
                                </a:lnTo>
                                <a:lnTo>
                                  <a:pt x="6661738" y="0"/>
                                </a:lnTo>
                                <a:lnTo>
                                  <a:pt x="6661738" y="76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244"/>
                                </a:moveTo>
                                <a:lnTo>
                                  <a:pt x="0" y="0"/>
                                </a:lnTo>
                                <a:lnTo>
                                  <a:pt x="7622" y="0"/>
                                </a:lnTo>
                                <a:lnTo>
                                  <a:pt x="7622" y="7622"/>
                                </a:lnTo>
                                <a:lnTo>
                                  <a:pt x="0" y="152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6654116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622" y="15244"/>
                                </a:moveTo>
                                <a:lnTo>
                                  <a:pt x="0" y="15244"/>
                                </a:lnTo>
                                <a:lnTo>
                                  <a:pt x="0" y="7622"/>
                                </a:lnTo>
                                <a:lnTo>
                                  <a:pt x="7622" y="0"/>
                                </a:lnTo>
                                <a:lnTo>
                                  <a:pt x="7622" y="152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24.550pt;height:1.2pt;mso-position-horizontal-relative:char;mso-position-vertical-relative:line" id="docshapegroup11" coordorigin="0,0" coordsize="10491,24">
                <v:shape style="position:absolute;left:0;top:0;width:10491;height:12" id="docshape12" coordorigin="0,0" coordsize="10491,12" path="m10479,12l0,12,0,0,10491,0,10479,12xe" filled="true" fillcolor="#999999" stroked="false">
                  <v:path arrowok="t"/>
                  <v:fill type="solid"/>
                </v:shape>
                <v:shape style="position:absolute;left:0;top:12;width:10491;height:12" id="docshape13" coordorigin="0,12" coordsize="10491,12" path="m10491,24l0,24,12,12,10491,12,10491,24xe" filled="true" fillcolor="#ededed" stroked="false">
                  <v:path arrowok="t"/>
                  <v:fill type="solid"/>
                </v:shape>
                <v:shape style="position:absolute;left:0;top:0;width:12;height:24" id="docshape14" coordorigin="0,0" coordsize="12,24" path="m0,24l0,0,12,0,12,12,0,24xe" filled="true" fillcolor="#999999" stroked="false">
                  <v:path arrowok="t"/>
                  <v:fill type="solid"/>
                </v:shape>
                <v:shape style="position:absolute;left:10478;top:0;width:12;height:24" id="docshape15" coordorigin="10479,0" coordsize="12,24" path="m10491,24l10479,24,10479,12,10491,0,10491,24xe" filled="true" fillcolor="#ededed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15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453415</wp:posOffset>
                </wp:positionH>
                <wp:positionV relativeFrom="paragraph">
                  <wp:posOffset>236298</wp:posOffset>
                </wp:positionV>
                <wp:extent cx="6646545" cy="22860"/>
                <wp:effectExtent l="0" t="0" r="0" b="0"/>
                <wp:wrapTopAndBottom/>
                <wp:docPr id="17" name="Graphic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Graphic 17"/>
                      <wps:cNvSpPr/>
                      <wps:spPr>
                        <a:xfrm>
                          <a:off x="0" y="0"/>
                          <a:ext cx="6646545" cy="228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6545" h="22860">
                              <a:moveTo>
                                <a:pt x="6646481" y="15240"/>
                              </a:moveTo>
                              <a:lnTo>
                                <a:pt x="0" y="15240"/>
                              </a:lnTo>
                              <a:lnTo>
                                <a:pt x="0" y="22860"/>
                              </a:lnTo>
                              <a:lnTo>
                                <a:pt x="6646481" y="22860"/>
                              </a:lnTo>
                              <a:lnTo>
                                <a:pt x="6646481" y="15240"/>
                              </a:lnTo>
                              <a:close/>
                            </a:path>
                            <a:path w="6646545" h="22860">
                              <a:moveTo>
                                <a:pt x="6646481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6646481" y="7620"/>
                              </a:lnTo>
                              <a:lnTo>
                                <a:pt x="664648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333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702003pt;margin-top:18.606182pt;width:523.35pt;height:1.8pt;mso-position-horizontal-relative:page;mso-position-vertical-relative:paragraph;z-index:-15727104;mso-wrap-distance-left:0;mso-wrap-distance-right:0" id="docshape16" coordorigin="714,372" coordsize="10467,36" path="m11181,396l714,396,714,408,11181,408,11181,396xm11181,372l714,372,714,384,11181,384,11181,372xe" filled="true" fillcolor="#333333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tabs>
          <w:tab w:pos="8982" w:val="left" w:leader="none"/>
        </w:tabs>
        <w:spacing w:before="23"/>
        <w:ind w:left="148" w:right="0" w:firstLine="0"/>
        <w:jc w:val="left"/>
        <w:rPr>
          <w:sz w:val="18"/>
        </w:rPr>
      </w:pPr>
      <w:r>
        <w:rPr>
          <w:b/>
          <w:w w:val="115"/>
          <w:sz w:val="18"/>
        </w:rPr>
        <w:t>Referência:</w:t>
      </w:r>
      <w:r>
        <w:rPr>
          <w:b/>
          <w:spacing w:val="-1"/>
          <w:w w:val="115"/>
          <w:sz w:val="18"/>
        </w:rPr>
        <w:t> </w:t>
      </w:r>
      <w:r>
        <w:rPr>
          <w:w w:val="115"/>
          <w:sz w:val="18"/>
        </w:rPr>
        <w:t>Processo</w:t>
      </w:r>
      <w:r>
        <w:rPr>
          <w:spacing w:val="-3"/>
          <w:w w:val="115"/>
          <w:sz w:val="18"/>
        </w:rPr>
        <w:t> </w:t>
      </w:r>
      <w:r>
        <w:rPr>
          <w:w w:val="115"/>
          <w:sz w:val="18"/>
        </w:rPr>
        <w:t>nº</w:t>
      </w:r>
      <w:r>
        <w:rPr>
          <w:spacing w:val="-3"/>
          <w:w w:val="115"/>
          <w:sz w:val="18"/>
        </w:rPr>
        <w:t> </w:t>
      </w:r>
      <w:r>
        <w:rPr>
          <w:w w:val="115"/>
          <w:sz w:val="18"/>
        </w:rPr>
        <w:t>6074.2026/0003424-</w:t>
      </w:r>
      <w:r>
        <w:rPr>
          <w:spacing w:val="-10"/>
          <w:w w:val="115"/>
          <w:sz w:val="18"/>
        </w:rPr>
        <w:t>0</w:t>
      </w:r>
      <w:r>
        <w:rPr>
          <w:sz w:val="18"/>
        </w:rPr>
        <w:tab/>
      </w:r>
      <w:r>
        <w:rPr>
          <w:w w:val="120"/>
          <w:sz w:val="18"/>
        </w:rPr>
        <w:t>SEI</w:t>
      </w:r>
      <w:r>
        <w:rPr>
          <w:spacing w:val="-11"/>
          <w:w w:val="120"/>
          <w:sz w:val="18"/>
        </w:rPr>
        <w:t> </w:t>
      </w:r>
      <w:r>
        <w:rPr>
          <w:w w:val="120"/>
          <w:sz w:val="18"/>
        </w:rPr>
        <w:t>nº</w:t>
      </w:r>
      <w:r>
        <w:rPr>
          <w:spacing w:val="-11"/>
          <w:w w:val="120"/>
          <w:sz w:val="18"/>
        </w:rPr>
        <w:t> </w:t>
      </w:r>
      <w:r>
        <w:rPr>
          <w:spacing w:val="-2"/>
          <w:w w:val="120"/>
          <w:sz w:val="18"/>
        </w:rPr>
        <w:t>163227581</w:t>
      </w:r>
    </w:p>
    <w:sectPr>
      <w:pgSz w:w="11900" w:h="16840"/>
      <w:pgMar w:header="0" w:footer="181" w:top="500" w:bottom="380" w:left="566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Trebuchet MS">
    <w:altName w:val="Trebuchet MS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22816">
              <wp:simplePos x="0" y="0"/>
              <wp:positionH relativeFrom="page">
                <wp:posOffset>1110488</wp:posOffset>
              </wp:positionH>
              <wp:positionV relativeFrom="page">
                <wp:posOffset>10438730</wp:posOffset>
              </wp:positionV>
              <wp:extent cx="3147695" cy="16764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314769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color w:val="BEBEBE"/>
                              <w:sz w:val="20"/>
                            </w:rPr>
                            <w:t>Ata de Reunião - Comissão Eleitoral N°09 </w:t>
                          </w:r>
                          <w:r>
                            <w:rPr>
                              <w:rFonts w:ascii="Arial MT" w:hAnsi="Arial MT"/>
                              <w:color w:val="BEBEBE"/>
                              <w:spacing w:val="-2"/>
                              <w:sz w:val="20"/>
                            </w:rPr>
                            <w:t>(163227581)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87.440002pt;margin-top:821.947266pt;width:247.85pt;height:13.2pt;mso-position-horizontal-relative:page;mso-position-vertical-relative:page;z-index:-15793664" type="#_x0000_t202" id="docshape1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 w:hAnsi="Arial MT"/>
                        <w:sz w:val="20"/>
                      </w:rPr>
                    </w:pPr>
                    <w:r>
                      <w:rPr>
                        <w:rFonts w:ascii="Arial MT" w:hAnsi="Arial MT"/>
                        <w:color w:val="BEBEBE"/>
                        <w:sz w:val="20"/>
                      </w:rPr>
                      <w:t>Ata de Reunião - Comissão Eleitoral N°09 </w:t>
                    </w:r>
                    <w:r>
                      <w:rPr>
                        <w:rFonts w:ascii="Arial MT" w:hAnsi="Arial MT"/>
                        <w:color w:val="BEBEBE"/>
                        <w:spacing w:val="-2"/>
                        <w:sz w:val="20"/>
                      </w:rPr>
                      <w:t>(163227581)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23328">
              <wp:simplePos x="0" y="0"/>
              <wp:positionH relativeFrom="page">
                <wp:posOffset>4549781</wp:posOffset>
              </wp:positionH>
              <wp:positionV relativeFrom="page">
                <wp:posOffset>10438730</wp:posOffset>
              </wp:positionV>
              <wp:extent cx="1934845" cy="16764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193484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>SEI 6074.2026/0003424-0 / pg. </w: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58.250549pt;margin-top:821.947266pt;width:152.35pt;height:13.2pt;mso-position-horizontal-relative:page;mso-position-vertical-relative:page;z-index:-15793152" type="#_x0000_t202" id="docshape2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>SEI 6074.2026/0003424-0 / pg. </w: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instrText> PAGE </w:instrTex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244" w:hanging="218"/>
      </w:pPr>
      <w:rPr>
        <w:rFonts w:hint="default" w:ascii="Trebuchet MS" w:hAnsi="Trebuchet MS" w:eastAsia="Trebuchet MS" w:cs="Trebuchet MS"/>
        <w:b w:val="0"/>
        <w:bCs w:val="0"/>
        <w:i w:val="0"/>
        <w:iCs w:val="0"/>
        <w:spacing w:val="0"/>
        <w:w w:val="112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292" w:hanging="218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345" w:hanging="21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398" w:hanging="21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451" w:hanging="21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504" w:hanging="21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556" w:hanging="21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609" w:hanging="21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662" w:hanging="218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rebuchet MS" w:hAnsi="Trebuchet MS" w:eastAsia="Trebuchet MS" w:cs="Trebuchet MS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rebuchet MS" w:hAnsi="Trebuchet MS" w:eastAsia="Trebuchet MS" w:cs="Trebuchet MS"/>
      <w:sz w:val="24"/>
      <w:szCs w:val="24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right="22"/>
      <w:jc w:val="center"/>
      <w:outlineLvl w:val="1"/>
    </w:pPr>
    <w:rPr>
      <w:rFonts w:ascii="Trebuchet MS" w:hAnsi="Trebuchet MS" w:eastAsia="Trebuchet MS" w:cs="Trebuchet MS"/>
      <w:b/>
      <w:bCs/>
      <w:sz w:val="26"/>
      <w:szCs w:val="26"/>
      <w:lang w:val="pt-PT" w:eastAsia="en-US" w:bidi="ar-SA"/>
    </w:rPr>
  </w:style>
  <w:style w:styleId="Heading2" w:type="paragraph">
    <w:name w:val="Heading 2"/>
    <w:basedOn w:val="Normal"/>
    <w:uiPriority w:val="1"/>
    <w:qFormat/>
    <w:pPr>
      <w:ind w:left="244"/>
      <w:outlineLvl w:val="2"/>
    </w:pPr>
    <w:rPr>
      <w:rFonts w:ascii="Trebuchet MS" w:hAnsi="Trebuchet MS" w:eastAsia="Trebuchet MS" w:cs="Trebuchet MS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spacing w:before="123"/>
      <w:ind w:left="244"/>
    </w:pPr>
    <w:rPr>
      <w:rFonts w:ascii="Trebuchet MS" w:hAnsi="Trebuchet MS" w:eastAsia="Trebuchet MS" w:cs="Trebuchet MS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jpeg"/><Relationship Id="rId8" Type="http://schemas.openxmlformats.org/officeDocument/2006/relationships/hyperlink" Target="http://processos.prefeitura.sp.gov.br/" TargetMode="External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6074.2026/0003424-0</dc:title>
  <dcterms:created xsi:type="dcterms:W3CDTF">2026-09-10T13:46:05Z</dcterms:created>
  <dcterms:modified xsi:type="dcterms:W3CDTF">2026-09-10T13:46:05Z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2026-09-09T00:00:00Z</vt:filetime>
  </property>
  <property fmtid="{D5CDD505-2E9C-101B-9397-08002B2CF9AE}" pid="4" name="Creator">
    <vt:lpwstr>wkhtmltopdf 0.12.6.1</vt:lpwstr>
  </property>
  <property fmtid="{D5CDD505-2E9C-101B-9397-08002B2CF9AE}" pid="5" name="Producer">
    <vt:lpwstr>Qt 4.8.7</vt:lpwstr>
  </property>
  <property fmtid="{D5CDD505-2E9C-101B-9397-08002B2CF9AE}" pid="6" name="LastSaved">
    <vt:filetime>2026-09-09T00:00:00Z</vt:filetime>
  </property>
</Properties>
</file>