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PORTARIA nº 26/GAB/</w:t>
      </w: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SUB-PI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/2024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Normatiza a concessão temporária de áreas públicas para a realização de eventos com até 250 pessoas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O Subprefeito de Pinheiros, pela competência que lhe foi conferida pela </w:t>
      </w:r>
      <w:hyperlink r:id="rId6" w:tgtFrame="_blank" w:history="1">
        <w:r w:rsidRPr="00AD118F">
          <w:rPr>
            <w:rFonts w:ascii="Arial" w:eastAsia="Times New Roman" w:hAnsi="Arial" w:cs="Arial"/>
            <w:color w:val="3E65BE"/>
            <w:sz w:val="21"/>
            <w:u w:val="single"/>
            <w:lang w:eastAsia="pt-BR"/>
          </w:rPr>
          <w:t>Lei nº 13.399/02</w:t>
        </w:r>
      </w:hyperlink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 no uso de suas atribuições legais, e,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CONSIDERANDO o </w:t>
      </w:r>
      <w:hyperlink r:id="rId7" w:tgtFrame="_blank" w:history="1">
        <w:r w:rsidRPr="00AD118F">
          <w:rPr>
            <w:rFonts w:ascii="Arial" w:eastAsia="Times New Roman" w:hAnsi="Arial" w:cs="Arial"/>
            <w:color w:val="3E65BE"/>
            <w:sz w:val="21"/>
            <w:u w:val="single"/>
            <w:lang w:eastAsia="pt-BR"/>
          </w:rPr>
          <w:t>Decreto 57.576/2017</w:t>
        </w:r>
      </w:hyperlink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 dispõe sobre a organização, as atribuições e o funcionamento da Administração Pública Municipal Direta;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CONSIDERANDO que os eventos em áreas públicas cuja previsão de pessoas participantes seja maior que 250, o interessado deverá instruir pedido junto à Secretaria de Urbanismo e Licenciamento;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CONSIDERANDO os inúmeros pedidos de uso temporário das áreas públicas, e a necessidade de disciplinar o roteiro de procedimentos, e a autorização precária de uso do espaço público, para manifestações Culturais, Sociais, Esportivas e outros.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DECIDE: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1. Normatiza a concessão temporária de áreas públicas para a realização de eventos com até 250 pessoas. Para tanto são as disposições: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2. Far-se-á necessário obter despacho autorizatório da Subprefeitura de Pinheiros, com supedâneo nesta Portaria, para os eventos em áreas públicas, em que o número de participantes estimado não ultrapasse 250 (duzentas e cinquenta) pessoas.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3. Cabe, contudo, análise de cada solicitação ao Gabinete da Subprefeitura, ressaltando-se que a autorização é ato discricionário do Subprefeito que levará em consideração o interesse público.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4. A área pública autorizada poderá ser utilizada para fins Culturais, Sociais, Esportivos e outros.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5. O interessado deverá no prazo mínimo de 30 (trinta) dias de antecedência ao evento autuar processo </w:t>
      </w: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SEI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(Sistema Eletrônico Integrado) no expediente do Gabinete, instruído com o preenchimento do Requerimento Padrão de Solicitação sobre Autorização Temporária de Espaço Público para Eventos (Anexo I), acompanhado do Memorial Descritivo (Anexo II).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 6. Recolher o preço público, sempre que a atividade a ser </w:t>
      </w: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desenvolvida no local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envolver práticas econômicas (compra e venda), salvo se a Supervisão de Cultura justificar a ausência de cobrança do preço público envolvido, visando o fomento à economia criativa local.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7. Aos autorizados que descumprirem as diretrizes estabelecidas neste instrumento implicarão na suspensão de concessões de autorização para a realização de novos eventos de qualquer ordem, no prazo mínimo de 12 (doze) meses, sem prejuízo das multas e demais sanções legais cabíveis as determinações contidas na autorização para uso do bem público.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 8. Os interessados que fizeram o recolhimento do preço público e por qualquer motivo não se utilizaram do espaço na data estabelecida, deverão reiniciar o processo para autorização de nova data, inclusive, recolhendo novamente o preço público adimplido, salvo se a não realização for fundada em fato superveniente de força maior (devidamente comprovado), podendo ser solicitado </w:t>
      </w: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devolução do valor, por meio de processo SEI </w:t>
      </w: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lastRenderedPageBreak/>
        <w:t>específico, com parecer favorável da Supervisão de Cultura e Assessoria Jurídica, bem como despacho da autoridade máxima para encaminhamento à Secretaria da Fazenda nos termos da </w:t>
      </w:r>
      <w:hyperlink r:id="rId8" w:history="1">
        <w:r w:rsidRPr="00AD118F">
          <w:rPr>
            <w:rFonts w:ascii="Arial" w:eastAsia="Times New Roman" w:hAnsi="Arial" w:cs="Arial"/>
            <w:color w:val="3E65BE"/>
            <w:sz w:val="21"/>
            <w:u w:val="single"/>
            <w:lang w:eastAsia="pt-BR"/>
          </w:rPr>
          <w:t>Portaria SF nº 119/12</w:t>
        </w:r>
      </w:hyperlink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9. Essa normatização será publicada no endereço eletrônico (site) da Subprefeitura de Pinheiros, incluído anexos Requerimento Padrão de Solicitação sobre Autorização Temporária de Espaço Público para Eventos (Anexo I) e Memorial Descritivo (Anexo II).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10. A autorização concedida fica condicionada ao cumprimento pelo interessado de: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</w:t>
      </w: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) manter as áreas em bom estado de limpeza e conservação, executando a limpeza do local durante e após o evento;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b)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restituir a referida área livre nas condições em que a recebeu em até 12 (doze) horas, findo o prazo fixado se antes não o exigir a Prefeitura independente de notificação administrativa ou judicial;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c)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arcar com as despesas relativas ao consumo de água, luz e quaisquer outras sobre a área cujo uso fora autorizado;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d)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não utilizar a área para fins estranhos ao estabelecido na autorização, bem como não ceder, no todo ou em parte, a terceiros;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e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) estabelecer passagens para pedestre, sinalizando-as adequadamente;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f)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em caso de danos à área verde, restituir o ajardinamento;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g)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obedecer às regras estabelecidas no art. 146 da </w:t>
      </w:r>
      <w:hyperlink r:id="rId9" w:tgtFrame="_blank" w:history="1">
        <w:r w:rsidRPr="00AD118F">
          <w:rPr>
            <w:rFonts w:ascii="Arial" w:eastAsia="Times New Roman" w:hAnsi="Arial" w:cs="Arial"/>
            <w:color w:val="3E65BE"/>
            <w:sz w:val="21"/>
            <w:u w:val="single"/>
            <w:lang w:eastAsia="pt-BR"/>
          </w:rPr>
          <w:t>Lei Municipal nº 16.402/2016</w:t>
        </w:r>
      </w:hyperlink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 quanto à emissão de ruídos, bem como, observar os equipamentos previstos no artigo 4° do </w:t>
      </w:r>
      <w:hyperlink r:id="rId10" w:tgtFrame="_blank" w:history="1">
        <w:r w:rsidRPr="00AD118F">
          <w:rPr>
            <w:rFonts w:ascii="Arial" w:eastAsia="Times New Roman" w:hAnsi="Arial" w:cs="Arial"/>
            <w:color w:val="3E65BE"/>
            <w:sz w:val="21"/>
            <w:u w:val="single"/>
            <w:lang w:eastAsia="pt-BR"/>
          </w:rPr>
          <w:t>decreto 55.085/14</w:t>
        </w:r>
      </w:hyperlink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 e as condições da hipótese prevista no capítulo VI – Do comércio de alimentos durante a realização de eventos;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h)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atender as disposições do </w:t>
      </w:r>
      <w:hyperlink r:id="rId11" w:tgtFrame="_blank" w:history="1">
        <w:r w:rsidRPr="00AD118F">
          <w:rPr>
            <w:rFonts w:ascii="Arial" w:eastAsia="Times New Roman" w:hAnsi="Arial" w:cs="Arial"/>
            <w:color w:val="3E65BE"/>
            <w:sz w:val="21"/>
            <w:u w:val="single"/>
            <w:lang w:eastAsia="pt-BR"/>
          </w:rPr>
          <w:t>Decreto Municipal n° 49.969/08</w:t>
        </w:r>
      </w:hyperlink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no que tange às condições de segurança do Evento;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i)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obter junto a CET – Companhia de Engenharia de Trafego, as autorizações competentes, observando as restrições e recomendações técnicas por ela apresentadas;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j)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oficiar a Policia Militar do Estado de São Paulo para a garantia da segurança do Evento;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k)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oficiar à Guarda Civil Metropolitana GCM, para resguardar o patrimônio público municipal;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l)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responder por eventuais danos causados, inclusive perante terceiros;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m)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responsabilizar-se civil e criminalmente por eventuais danos causados ao Patrimônio Público e particular.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n)</w:t>
      </w:r>
      <w:proofErr w:type="gramEnd"/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atender, em ano eleitoral, as normas estabelecidas pela </w:t>
      </w:r>
      <w:hyperlink r:id="rId12" w:tgtFrame="_blank" w:history="1">
        <w:r w:rsidRPr="00AD118F">
          <w:rPr>
            <w:rFonts w:ascii="Arial" w:eastAsia="Times New Roman" w:hAnsi="Arial" w:cs="Arial"/>
            <w:color w:val="3E65BE"/>
            <w:sz w:val="21"/>
            <w:u w:val="single"/>
            <w:lang w:eastAsia="pt-BR"/>
          </w:rPr>
          <w:t>Lei Federal nº 9.504/97</w:t>
        </w:r>
      </w:hyperlink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e regulamentos congêneres, responsabilizando-se o organizador, de forma pessoal e irrestrita, por eventual irregularidade cometida durante a realização do evento.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NOTAS:</w:t>
      </w:r>
    </w:p>
    <w:p w:rsidR="00AD118F" w:rsidRPr="00AD118F" w:rsidRDefault="00AD118F" w:rsidP="00AD118F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Aplicar-se-ão, no que couberem, as disposições da </w:t>
      </w:r>
      <w:hyperlink r:id="rId13" w:tgtFrame="_blank" w:history="1">
        <w:r w:rsidRPr="00AD118F">
          <w:rPr>
            <w:rFonts w:ascii="Arial" w:eastAsia="Times New Roman" w:hAnsi="Arial" w:cs="Arial"/>
            <w:color w:val="3E65BE"/>
            <w:sz w:val="21"/>
            <w:lang w:eastAsia="pt-BR"/>
          </w:rPr>
          <w:t>Lei Municipal n° 14.450/07</w:t>
        </w:r>
      </w:hyperlink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 incorrendo o infrator em todas as penas previstas naquele diploma legal.</w:t>
      </w:r>
    </w:p>
    <w:p w:rsidR="00AD118F" w:rsidRPr="00AD118F" w:rsidRDefault="00AD118F" w:rsidP="00AD118F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Proíbe-se a colocação de faixas, cartazes, placas e assemelhados, a distribuição de qualquer material impresso de divulgação, incluindo panfletos, </w:t>
      </w: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lastRenderedPageBreak/>
        <w:t>folder etc., de conformidade com a </w:t>
      </w:r>
      <w:hyperlink r:id="rId14" w:tgtFrame="_blank" w:history="1">
        <w:r w:rsidRPr="00AD118F">
          <w:rPr>
            <w:rFonts w:ascii="Arial" w:eastAsia="Times New Roman" w:hAnsi="Arial" w:cs="Arial"/>
            <w:color w:val="3E65BE"/>
            <w:sz w:val="21"/>
            <w:lang w:eastAsia="pt-BR"/>
          </w:rPr>
          <w:t>Lei Municipal n° 14.223/06</w:t>
        </w:r>
      </w:hyperlink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 regulamentada pelo </w:t>
      </w:r>
      <w:hyperlink r:id="rId15" w:tgtFrame="_blank" w:history="1">
        <w:r w:rsidRPr="00AD118F">
          <w:rPr>
            <w:rFonts w:ascii="Arial" w:eastAsia="Times New Roman" w:hAnsi="Arial" w:cs="Arial"/>
            <w:color w:val="3E65BE"/>
            <w:sz w:val="21"/>
            <w:lang w:eastAsia="pt-BR"/>
          </w:rPr>
          <w:t>Decreto n° 47.950/06</w:t>
        </w:r>
      </w:hyperlink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</w:t>
      </w:r>
    </w:p>
    <w:p w:rsidR="00AD118F" w:rsidRPr="00AD118F" w:rsidRDefault="00AD118F" w:rsidP="00AD118F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Proíbe-se o uso de veículos no passeio público, bem como nas áreas de circulação de pedestres e nos calçadões.</w:t>
      </w:r>
    </w:p>
    <w:p w:rsidR="00AD118F" w:rsidRPr="00AD118F" w:rsidRDefault="00AD118F" w:rsidP="00AD118F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 expedição desta Autorização isenta a Municipalidade de qualquer responsabilidade por danos pessoais ou patrimoniais eventualmente decorrentes do evento, ainda que dele supervenientes.</w:t>
      </w:r>
    </w:p>
    <w:p w:rsidR="00AD118F" w:rsidRPr="00AD118F" w:rsidRDefault="00AD118F" w:rsidP="00AD118F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Empregar-se-ão, além da legislação municipal, as normas federais e estaduais aplicáveis à espécie.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</w:t>
      </w:r>
    </w:p>
    <w:p w:rsidR="00AD118F" w:rsidRPr="00AD118F" w:rsidRDefault="00AD118F" w:rsidP="00AD118F">
      <w:pPr>
        <w:spacing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12. Esta Portaria entrará em vigor na data de sua publicação, revogando-se em especial a </w:t>
      </w:r>
      <w:hyperlink r:id="rId16" w:history="1">
        <w:r w:rsidRPr="00AD118F">
          <w:rPr>
            <w:rFonts w:ascii="Arial" w:eastAsia="Times New Roman" w:hAnsi="Arial" w:cs="Arial"/>
            <w:color w:val="3E65BE"/>
            <w:sz w:val="21"/>
            <w:u w:val="single"/>
            <w:lang w:eastAsia="pt-BR"/>
          </w:rPr>
          <w:t xml:space="preserve">Portaria </w:t>
        </w:r>
        <w:proofErr w:type="gramStart"/>
        <w:r w:rsidRPr="00AD118F">
          <w:rPr>
            <w:rFonts w:ascii="Arial" w:eastAsia="Times New Roman" w:hAnsi="Arial" w:cs="Arial"/>
            <w:color w:val="3E65BE"/>
            <w:sz w:val="21"/>
            <w:u w:val="single"/>
            <w:lang w:eastAsia="pt-BR"/>
          </w:rPr>
          <w:t>SUB-PI</w:t>
        </w:r>
        <w:proofErr w:type="gramEnd"/>
        <w:r w:rsidRPr="00AD118F">
          <w:rPr>
            <w:rFonts w:ascii="Arial" w:eastAsia="Times New Roman" w:hAnsi="Arial" w:cs="Arial"/>
            <w:color w:val="3E65BE"/>
            <w:sz w:val="21"/>
            <w:u w:val="single"/>
            <w:lang w:eastAsia="pt-BR"/>
          </w:rPr>
          <w:t xml:space="preserve"> nº 16 de 30 de Novembro de 2021</w:t>
        </w:r>
      </w:hyperlink>
      <w:r w:rsidRPr="00AD118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</w:t>
      </w:r>
    </w:p>
    <w:p w:rsidR="00AD118F" w:rsidRPr="00AD118F" w:rsidRDefault="00AD118F" w:rsidP="00AD118F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Pr="00AD118F" w:rsidRDefault="00AD118F" w:rsidP="00AD118F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  <w:lastRenderedPageBreak/>
        <w:t>Anexo I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Requerimento Padrão de Solicitação sobre Autorização Temporária de Espaço Público para Eventos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*antecedência mínima de 30 (trinta) dias contados da data do evento.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Senhor Subprefeito,</w:t>
      </w:r>
    </w:p>
    <w:p w:rsidR="0077640B" w:rsidRDefault="0077640B" w:rsidP="00AD118F">
      <w:pPr>
        <w:spacing w:after="165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Solicito autorização para o evento:</w:t>
      </w:r>
      <w:r w:rsidR="00A41F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 </w:t>
      </w:r>
      <w:r w:rsid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 </w:t>
      </w:r>
      <w:r w:rsid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 </w:t>
      </w:r>
      <w:r w:rsid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 </w:t>
      </w:r>
      <w:r w:rsid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0"/>
    </w:p>
    <w:p w:rsidR="00AD118F" w:rsidRPr="007F2BF6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Denominação do evento:</w:t>
      </w:r>
      <w:r w:rsidR="00CA66E0" w:rsidRPr="00CA66E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 </w:t>
      </w:r>
      <w:r w:rsid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 </w:t>
      </w:r>
      <w:r w:rsid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 </w:t>
      </w:r>
      <w:r w:rsid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 </w:t>
      </w:r>
      <w:r w:rsid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1"/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Data de início: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" w:name="Texto20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F2BF6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 </w:t>
      </w:r>
      <w:r w:rsidR="007F2BF6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 </w:t>
      </w:r>
      <w:r w:rsidR="007F2BF6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 </w:t>
      </w:r>
      <w:r w:rsidR="007F2BF6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 </w:t>
      </w:r>
      <w:r w:rsidR="007F2BF6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2"/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                  D</w:t>
      </w: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ata de término:</w:t>
      </w:r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3"/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Horário de início:</w:t>
      </w:r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4" w:name="Texto19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4"/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            </w:t>
      </w: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Horário de término:</w:t>
      </w:r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5"/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Local do evento:</w:t>
      </w:r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6"/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Razão Social:</w:t>
      </w:r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7"/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CNPJ:</w:t>
      </w:r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r>
      <w:r w:rsidR="002379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fldChar w:fldCharType="separate"/>
      </w:r>
      <w:r w:rsidR="0077640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pt-BR"/>
        </w:rPr>
        <w:t> </w:t>
      </w:r>
      <w:r w:rsidR="0077640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pt-BR"/>
        </w:rPr>
        <w:t> </w:t>
      </w:r>
      <w:r w:rsidR="0077640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pt-BR"/>
        </w:rPr>
        <w:t> </w:t>
      </w:r>
      <w:r w:rsidR="0077640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pt-BR"/>
        </w:rPr>
        <w:t> </w:t>
      </w:r>
      <w:r w:rsidR="0077640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pt-BR"/>
        </w:rPr>
        <w:t> </w:t>
      </w:r>
      <w:r w:rsidR="002379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fldChar w:fldCharType="end"/>
      </w:r>
      <w:bookmarkEnd w:id="8"/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Endereço:</w:t>
      </w:r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9"/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Responsável:</w:t>
      </w:r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10"/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Fone Fixo: Celular:</w:t>
      </w:r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11"/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E-mail:</w:t>
      </w:r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12"/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RG: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13"/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                         </w:t>
      </w: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CPF:</w:t>
      </w:r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4" w:name="Texto12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14"/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Coordenador do evento:</w:t>
      </w:r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15"/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Fone Fixo: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16"/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              </w:t>
      </w: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Celular:</w:t>
      </w:r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7" w:name="Texto16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17"/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E-mail:</w:t>
      </w:r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8" w:name="Texto17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18"/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Área a ser utilizada em m²:</w:t>
      </w:r>
      <w:r w:rsidR="00776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9" w:name="Texto18"/>
      <w:r w:rsidR="0077640B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77640B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19"/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Default="00AD118F" w:rsidP="00AD118F">
      <w:pPr>
        <w:spacing w:after="165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</w:pPr>
    </w:p>
    <w:p w:rsidR="00AD118F" w:rsidRPr="00AD118F" w:rsidRDefault="00AD118F" w:rsidP="00AD118F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  <w:lastRenderedPageBreak/>
        <w:t>Anexo II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Memorial Descritivo: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Preencher todos os itens abaixo em folha separada.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 Descrição do Objetivo;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 Data de realização, horários de início e término da ocupação de área pública especificando montagem e desmontagem da infraestrutura quando houver;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 Endereço completo do local de realização do evento;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 Público estimado e quantidade de pessoas na equipe;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 Descrição das estruturas que serão montadas, dos equipamentos a serem instalados, quantidade e metragem quando for o caso;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6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 Croqui do local com a metragem total da área utilizada para cálculo de preço público, layout e o dimensionamento da área a ser ocupada, indicação do posicionamento dos equipamentos, das mesas, bancos, cadeiras e toldos retráteis se o caso;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 Programação;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8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 Havendo distribuição de brindes, panfletos, ou exposição de logomarcas, apresentar modelo e croqui;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9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 Anexar cópia de Protocolo de Entrega da Solicitação para Autorização de Evento da CET;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10)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Se existir página criada para o evento nas redes sociais, informar o endereço eletrônico;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11)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Para os eventos com público previsto acima de 250 (duzentos e cinquenta) pessoas, é necessário solicitar o Alvará de Autorização de Evento junto a Secretaria Municipal de Urbanismo e Licenciamento;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12)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Poderá ser solicitado conforme as características do evento a contratação de: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locação de banheiros químicos proporcionais ao público estimado e a duração do evento;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b) segurança privada que dê suporte </w:t>
      </w: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dimensão do evento;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13)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Tratando-se de comercialização de alimentos: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descrever a categoria e os equipamentos que serão utilizados, que atendam a legislação sanitária, de higiene e segurança do alimento, controle de geração de odores e fumaça;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indicar os alimentos que pretende comercializar;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c) apresentar cópias do Documento de Identidade, Cadastro de Pessoa Física – CPF e certificado de realização de curso de boas práticas de manipulação de alimentos em </w:t>
      </w: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nome do responsável de cada um dos equipamentos ou cópia do cadastro municipal da vigilância sanitária;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indicar profissional com o respectivo registro, responsável pelo controle de qualidade, segurança e higiene dos alimentos que serão comercializados;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e) anexar cópia do contrato de coleta e destino final dos resíduos recicláveis e orgânicos provenientes do evento;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14)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Tratando-se de comercialização de artesanato pode-se apresentar um dos documentos: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cópia da carteira da Sutaco atualizada;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b) declaração com firma reconhecida de artesão feita pelo </w:t>
      </w: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expositor(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a), informando que exerce um ofício manual e transforma matéria-prima bruta ou manufaturada em produto acabado. Especificar o tipo de matéria-prima que utiliza;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15)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Tratando-se de atividade esportiva pode-se apresentar um dos documentos: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indicar o responsável pelo acompanhamento da atividade e o número de registro no Conselho Regional de Educação Física;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cópia do registro no órgão regulador;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16)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Evento previsto com onerosidade (Decreto anual de preços públicos), apresentar pagamento da guia de recolhimento do preço público depois de analisada a possibilidade de autorização;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17)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Requerimento de pessoa física, a solicitação deverá ser instruída com: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Cópia do documento de identidade;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Cópia da inscrição no Cadastro de Pessoas Físicas - CPF;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Cópia de comprovante de residência;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18)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Requerimento de pessoa jurídica, a solicitação deverá ser instruída com: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Cópia do contrato social devidamente registrado, ou Certificado da Condição de Micro Empreendedor Individual – CCMEI, emitido pela Receita Federal;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Comprovante de inscrição no Cadastro Nacional de Pessoas Jurídicas - CNPJ;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Cópia do documento de identidade; cópia da inscrição no Cadastro de Pessoas Físicas – CPF, do representante legal do interessado, sócios da pessoa jurídica e, do responsável pelo projeto;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Comprovante de inscrição no CCM – Cadastro de Contribuintes Mobiliários;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e) Certidão Negativa de Cadastro Informativo Municipal – CADIN em nome da pessoa jurídica requerente.</w:t>
      </w:r>
    </w:p>
    <w:p w:rsidR="00B35830" w:rsidRDefault="00B35830" w:rsidP="00AD118F">
      <w:pPr>
        <w:spacing w:after="16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B35830" w:rsidRDefault="00B35830" w:rsidP="00AD118F">
      <w:pPr>
        <w:spacing w:after="16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Observações: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I. Lembramos que o Termo de Autorização emitido pela Subprefeitura de Pinheiros autoriza somente o uso do solo.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II. Para exposição de logomarcas durante o evento e interdição de vias públicas, </w:t>
      </w: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devem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ser requeridas autorização específicas nos órgãos competentes.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III. Obrigatório informar todos os itens, </w:t>
      </w:r>
      <w:proofErr w:type="gramStart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sob pena</w:t>
      </w:r>
      <w:proofErr w:type="gramEnd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não recebimento e análise dos documentos.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IV. Outros documentos poderão ser solicitados a critério da Prefeitura Regional.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Declaro-me responsável diante da ciência das exigências legais estabelecidas como solicitante do evento acima mencionado.</w:t>
      </w:r>
    </w:p>
    <w:p w:rsidR="00AD118F" w:rsidRPr="00AD118F" w:rsidRDefault="00AD118F" w:rsidP="00AD118F">
      <w:pPr>
        <w:spacing w:after="165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São Paulo,</w:t>
      </w:r>
      <w:r w:rsidR="0028108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0" w:name="Texto21"/>
      <w:r w:rsidR="0028108D" w:rsidRPr="007F2B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fldChar w:fldCharType="separate"/>
      </w:r>
      <w:r w:rsidR="0028108D" w:rsidRPr="007F2BF6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fldChar w:fldCharType="end"/>
      </w:r>
      <w:bookmarkEnd w:id="20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</w:t>
      </w:r>
      <w:r w:rsidR="0028108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1" w:name="Texto22"/>
      <w:r w:rsidR="0028108D" w:rsidRPr="007F2B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fldChar w:fldCharType="separate"/>
      </w:r>
      <w:r w:rsidR="0028108D" w:rsidRPr="007F2BF6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fldChar w:fldCharType="end"/>
      </w:r>
      <w:bookmarkEnd w:id="21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20</w:t>
      </w:r>
      <w:r w:rsidR="002379D8" w:rsidRPr="007F2B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2" w:name="Texto23"/>
      <w:r w:rsidR="0028108D" w:rsidRPr="007F2B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fldChar w:fldCharType="separate"/>
      </w:r>
      <w:r w:rsidR="0028108D" w:rsidRPr="007F2BF6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fldChar w:fldCharType="end"/>
      </w:r>
      <w:bookmarkEnd w:id="22"/>
      <w:r w:rsidRPr="00AD118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Assinatura</w:t>
      </w:r>
      <w:r w:rsidR="0028108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: </w:t>
      </w:r>
      <w:r w:rsidR="007F2B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___________________________</w:t>
      </w:r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Nome:</w:t>
      </w:r>
      <w:r w:rsidR="0028108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3" w:name="Texto24"/>
      <w:r w:rsidR="0028108D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28108D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23"/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RG:</w:t>
      </w:r>
      <w:r w:rsidR="0028108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2379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4" w:name="Texto25"/>
      <w:r w:rsidR="0028108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r>
      <w:r w:rsidR="002379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fldChar w:fldCharType="separate"/>
      </w:r>
      <w:r w:rsidR="0028108D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pt-BR"/>
        </w:rPr>
        <w:t> </w:t>
      </w:r>
      <w:r w:rsidR="0028108D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pt-BR"/>
        </w:rPr>
        <w:t> </w:t>
      </w:r>
      <w:r w:rsidR="0028108D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pt-BR"/>
        </w:rPr>
        <w:t> </w:t>
      </w:r>
      <w:r w:rsidR="0028108D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pt-BR"/>
        </w:rPr>
        <w:t> </w:t>
      </w:r>
      <w:r w:rsidR="0028108D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pt-BR"/>
        </w:rPr>
        <w:t> </w:t>
      </w:r>
      <w:r w:rsidR="002379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fldChar w:fldCharType="end"/>
      </w:r>
      <w:bookmarkEnd w:id="24"/>
    </w:p>
    <w:p w:rsidR="00AD118F" w:rsidRPr="00AD118F" w:rsidRDefault="00AD118F" w:rsidP="00AD118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D11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CPF</w:t>
      </w:r>
      <w:r w:rsidR="0028108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: 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 w:rsidR="0028108D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instrText xml:space="preserve"> FORMTEXT </w:instrTex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separate"/>
      </w:r>
      <w:r w:rsidR="0028108D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8108D" w:rsidRPr="007F2BF6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pt-BR"/>
        </w:rPr>
        <w:t> </w:t>
      </w:r>
      <w:r w:rsidR="002379D8" w:rsidRPr="007F2BF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fldChar w:fldCharType="end"/>
      </w:r>
      <w:bookmarkEnd w:id="25"/>
    </w:p>
    <w:p w:rsidR="00511A8B" w:rsidRPr="00AD118F" w:rsidRDefault="00511A8B" w:rsidP="00AD118F"/>
    <w:sectPr w:rsidR="00511A8B" w:rsidRPr="00AD118F" w:rsidSect="00511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63AEE"/>
    <w:multiLevelType w:val="multilevel"/>
    <w:tmpl w:val="1700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MfUK2k5XNLMvsNyyqHdOK/bG5U=" w:salt="qD6HPUHSxs82CIYFDwByMQ=="/>
  <w:defaultTabStop w:val="708"/>
  <w:hyphenationZone w:val="425"/>
  <w:characterSpacingControl w:val="doNotCompress"/>
  <w:compat/>
  <w:rsids>
    <w:rsidRoot w:val="00E30E4F"/>
    <w:rsid w:val="002379D8"/>
    <w:rsid w:val="0028108D"/>
    <w:rsid w:val="00511A8B"/>
    <w:rsid w:val="0077640B"/>
    <w:rsid w:val="007F2BF6"/>
    <w:rsid w:val="008433BF"/>
    <w:rsid w:val="00A41F67"/>
    <w:rsid w:val="00AD0C82"/>
    <w:rsid w:val="00AD118F"/>
    <w:rsid w:val="00B35830"/>
    <w:rsid w:val="00C64508"/>
    <w:rsid w:val="00CA66E0"/>
    <w:rsid w:val="00E3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8B"/>
  </w:style>
  <w:style w:type="paragraph" w:styleId="Ttulo3">
    <w:name w:val="heading 3"/>
    <w:basedOn w:val="Normal"/>
    <w:link w:val="Ttulo3Char"/>
    <w:uiPriority w:val="9"/>
    <w:qFormat/>
    <w:rsid w:val="00E30E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30E4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3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30E4F"/>
    <w:rPr>
      <w:color w:val="0000FF"/>
      <w:u w:val="single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E30E4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E30E4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0E4F"/>
    <w:rPr>
      <w:b/>
      <w:bCs/>
    </w:rPr>
  </w:style>
  <w:style w:type="character" w:styleId="nfase">
    <w:name w:val="Emphasis"/>
    <w:basedOn w:val="Fontepargpadro"/>
    <w:uiPriority w:val="20"/>
    <w:qFormat/>
    <w:rsid w:val="00AD118F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A41F6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F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7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6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7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6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ao.prefeitura.sp.gov.br/leis/portaria-secret-mun-de-financas-e-desenv-economico-119-de-1-de-setembro-de-2012" TargetMode="External"/><Relationship Id="rId13" Type="http://schemas.openxmlformats.org/officeDocument/2006/relationships/hyperlink" Target="https://legislacao.prefeitura.sp.gov.br/leis/lei-14450-de-22-de-junho-de-200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egislacao.prefeitura.sp.gov.br/leis/decreto-57576-de-01-de-janeiro-de-2017" TargetMode="External"/><Relationship Id="rId12" Type="http://schemas.openxmlformats.org/officeDocument/2006/relationships/hyperlink" Target="https://www.planalto.gov.br/ccivil_03/leis/l9504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egislacao.prefeitura.sp.gov.br/leis/portaria-subprefeitura-de-pinheiros-sub-pi-16-de-30-de-novembro-de-202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gislacao.prefeitura.sp.gov.br/leis/lei-13399-de-01-de-agosto-de-2002" TargetMode="External"/><Relationship Id="rId11" Type="http://schemas.openxmlformats.org/officeDocument/2006/relationships/hyperlink" Target="https://legislacao.prefeitura.sp.gov.br/leis/decreto-49969-de-28-de-agosto-de-20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islacao.prefeitura.sp.gov.br/leis/decreto-47950-de-05-de-dezembro-de-2006" TargetMode="External"/><Relationship Id="rId10" Type="http://schemas.openxmlformats.org/officeDocument/2006/relationships/hyperlink" Target="https://legislacao.prefeitura.sp.gov.br/leis/decreto-55085-de-06-de-maio-de-2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cao.prefeitura.sp.gov.br/leis/lei-16402-de-22-de-marco-de-2016" TargetMode="External"/><Relationship Id="rId14" Type="http://schemas.openxmlformats.org/officeDocument/2006/relationships/hyperlink" Target="https://legislacao.prefeitura.sp.gov.br/leis/lei-14223-de-26-de-setembro-de-200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2521F-1291-4550-BC78-76E82A2D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2069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x287900</dc:creator>
  <cp:lastModifiedBy>x287900</cp:lastModifiedBy>
  <cp:revision>7</cp:revision>
  <cp:lastPrinted>2025-05-06T12:33:00Z</cp:lastPrinted>
  <dcterms:created xsi:type="dcterms:W3CDTF">2025-04-17T15:35:00Z</dcterms:created>
  <dcterms:modified xsi:type="dcterms:W3CDTF">2025-05-06T16:49:00Z</dcterms:modified>
</cp:coreProperties>
</file>